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7B98">
      <w:pPr>
        <w:pStyle w:val="3"/>
        <w:numPr>
          <w:ilvl w:val="0"/>
          <w:numId w:val="0"/>
        </w:numPr>
        <w:ind w:leftChars="0"/>
        <w:jc w:val="center"/>
      </w:pPr>
      <w:bookmarkStart w:id="0" w:name="_Toc2392"/>
      <w:r>
        <w:rPr>
          <w:rFonts w:hint="eastAsia"/>
        </w:rPr>
        <w:t>项目采购需求</w:t>
      </w:r>
      <w:bookmarkEnd w:id="0"/>
    </w:p>
    <w:p w14:paraId="6A46EF91">
      <w:pPr>
        <w:pageBreakBefore w:val="0"/>
        <w:widowControl w:val="0"/>
        <w:kinsoku/>
        <w:overflowPunct/>
        <w:topLinePunct w:val="0"/>
        <w:autoSpaceDE/>
        <w:autoSpaceDN/>
        <w:bidi w:val="0"/>
        <w:adjustRightInd/>
        <w:snapToGrid/>
        <w:spacing w:line="360" w:lineRule="auto"/>
        <w:textAlignment w:val="auto"/>
        <w:rPr>
          <w:i w:val="0"/>
          <w:iCs w:val="0"/>
          <w:color w:val="FF0000"/>
        </w:rPr>
      </w:pPr>
      <w:r>
        <w:rPr>
          <w:rFonts w:hint="eastAsia"/>
          <w:i w:val="0"/>
          <w:iCs w:val="0"/>
          <w:color w:val="FF0000"/>
        </w:rPr>
        <w:t>【以下几项内容应根据项目情况作出具体采购需求描述，同时，制定各条款具体内容时与采购需求无关的将不得纳入】</w:t>
      </w:r>
    </w:p>
    <w:p w14:paraId="5D95D7F0">
      <w:pPr>
        <w:pageBreakBefore w:val="0"/>
        <w:widowControl w:val="0"/>
        <w:kinsoku/>
        <w:overflowPunct/>
        <w:topLinePunct w:val="0"/>
        <w:autoSpaceDE/>
        <w:autoSpaceDN/>
        <w:bidi w:val="0"/>
        <w:adjustRightInd/>
        <w:snapToGrid/>
        <w:spacing w:line="360" w:lineRule="auto"/>
        <w:ind w:left="0" w:firstLine="482" w:firstLineChars="200"/>
        <w:textAlignment w:val="auto"/>
        <w:rPr>
          <w:i w:val="0"/>
          <w:iCs w:val="0"/>
        </w:rPr>
      </w:pPr>
      <w:r>
        <w:rPr>
          <w:rFonts w:hint="eastAsia"/>
          <w:b/>
          <w:bCs/>
          <w:i w:val="0"/>
          <w:iCs w:val="0"/>
        </w:rPr>
        <w:t>说明</w:t>
      </w:r>
      <w:r>
        <w:rPr>
          <w:rFonts w:hint="eastAsia"/>
          <w:i w:val="0"/>
          <w:iCs w:val="0"/>
        </w:rPr>
        <w:t>：“★”号标注的内容为实质性要求，必须满足或优于该要求，否则按照</w:t>
      </w:r>
      <w:r>
        <w:rPr>
          <w:rFonts w:hint="eastAsia"/>
          <w:b/>
          <w:bCs/>
          <w:i w:val="0"/>
          <w:iCs w:val="0"/>
        </w:rPr>
        <w:t>无效响应处理</w:t>
      </w:r>
      <w:r>
        <w:rPr>
          <w:rFonts w:hint="eastAsia"/>
          <w:i w:val="0"/>
          <w:iCs w:val="0"/>
        </w:rPr>
        <w:t>。</w:t>
      </w:r>
    </w:p>
    <w:p w14:paraId="309548D9">
      <w:pPr>
        <w:pStyle w:val="4"/>
        <w:pageBreakBefore w:val="0"/>
        <w:widowControl w:val="0"/>
        <w:numPr>
          <w:ilvl w:val="0"/>
          <w:numId w:val="1"/>
        </w:numPr>
        <w:kinsoku/>
        <w:overflowPunct/>
        <w:topLinePunct w:val="0"/>
        <w:autoSpaceDE/>
        <w:autoSpaceDN/>
        <w:bidi w:val="0"/>
        <w:adjustRightInd/>
        <w:snapToGrid/>
        <w:spacing w:before="0" w:after="0" w:line="360" w:lineRule="auto"/>
        <w:ind w:left="0" w:firstLine="643" w:firstLineChars="200"/>
        <w:textAlignment w:val="auto"/>
        <w:rPr>
          <w:i w:val="0"/>
          <w:iCs w:val="0"/>
        </w:rPr>
      </w:pPr>
      <w:bookmarkStart w:id="1" w:name="_Toc156490321"/>
      <w:bookmarkStart w:id="2" w:name="_Toc28252"/>
      <w:r>
        <w:rPr>
          <w:rFonts w:hint="eastAsia"/>
          <w:i w:val="0"/>
          <w:iCs w:val="0"/>
        </w:rPr>
        <w:t>采购清单</w:t>
      </w:r>
      <w:bookmarkEnd w:id="1"/>
      <w:bookmarkEnd w:id="2"/>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7"/>
        <w:gridCol w:w="1104"/>
        <w:gridCol w:w="966"/>
        <w:gridCol w:w="1932"/>
        <w:gridCol w:w="1934"/>
      </w:tblGrid>
      <w:tr w14:paraId="6C19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070971D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bookmarkStart w:id="3" w:name="_Toc338065594"/>
            <w:bookmarkStart w:id="4" w:name="_Toc339378680"/>
            <w:r>
              <w:rPr>
                <w:rFonts w:hint="eastAsia"/>
                <w:b/>
                <w:bCs/>
                <w:i w:val="0"/>
                <w:iCs w:val="0"/>
              </w:rPr>
              <w:t>序号</w:t>
            </w:r>
          </w:p>
        </w:tc>
        <w:tc>
          <w:tcPr>
            <w:tcW w:w="1053" w:type="pct"/>
            <w:shd w:val="clear" w:color="auto" w:fill="auto"/>
            <w:vAlign w:val="center"/>
          </w:tcPr>
          <w:p w14:paraId="33564FA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采购标的名称</w:t>
            </w:r>
          </w:p>
        </w:tc>
        <w:tc>
          <w:tcPr>
            <w:tcW w:w="647" w:type="pct"/>
            <w:shd w:val="clear" w:color="auto" w:fill="auto"/>
            <w:vAlign w:val="center"/>
          </w:tcPr>
          <w:p w14:paraId="63FFA32D">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数量</w:t>
            </w:r>
          </w:p>
        </w:tc>
        <w:tc>
          <w:tcPr>
            <w:tcW w:w="566" w:type="pct"/>
            <w:shd w:val="clear" w:color="auto" w:fill="auto"/>
            <w:vAlign w:val="center"/>
          </w:tcPr>
          <w:p w14:paraId="45326D85">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单位</w:t>
            </w:r>
          </w:p>
        </w:tc>
        <w:tc>
          <w:tcPr>
            <w:tcW w:w="1132" w:type="pct"/>
            <w:vAlign w:val="center"/>
          </w:tcPr>
          <w:p w14:paraId="53559C8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所属行业</w:t>
            </w:r>
          </w:p>
        </w:tc>
        <w:tc>
          <w:tcPr>
            <w:tcW w:w="1133" w:type="pct"/>
            <w:shd w:val="clear" w:color="auto" w:fill="auto"/>
            <w:vAlign w:val="center"/>
          </w:tcPr>
          <w:p w14:paraId="139B1D3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b/>
                <w:bCs/>
                <w:i w:val="0"/>
                <w:iCs w:val="0"/>
              </w:rPr>
            </w:pPr>
            <w:r>
              <w:rPr>
                <w:rFonts w:hint="eastAsia"/>
                <w:b/>
                <w:bCs/>
                <w:i w:val="0"/>
                <w:iCs w:val="0"/>
              </w:rPr>
              <w:t>要求/备注</w:t>
            </w:r>
          </w:p>
        </w:tc>
      </w:tr>
      <w:tr w14:paraId="30FB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457CB3BE">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宋体"/>
                <w:i w:val="0"/>
                <w:iCs w:val="0"/>
              </w:rPr>
            </w:pPr>
            <w:r>
              <w:rPr>
                <w:rFonts w:hint="eastAsia" w:cs="宋体"/>
                <w:i w:val="0"/>
                <w:iCs w:val="0"/>
              </w:rPr>
              <w:t>1</w:t>
            </w:r>
          </w:p>
        </w:tc>
        <w:tc>
          <w:tcPr>
            <w:tcW w:w="1053" w:type="pct"/>
            <w:vAlign w:val="center"/>
          </w:tcPr>
          <w:p w14:paraId="61A19408">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hr-HR" w:eastAsia="zh-CN"/>
              </w:rPr>
              <w:t>鄂州市华容区临江乡中心小学维修工程</w:t>
            </w:r>
          </w:p>
        </w:tc>
        <w:tc>
          <w:tcPr>
            <w:tcW w:w="647" w:type="pct"/>
            <w:vAlign w:val="center"/>
          </w:tcPr>
          <w:p w14:paraId="1439CC43">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eastAsia="宋体" w:cs="仿宋_GB2312"/>
                <w:i w:val="0"/>
                <w:iCs w:val="0"/>
                <w:lang w:eastAsia="zh-CN"/>
              </w:rPr>
            </w:pPr>
            <w:r>
              <w:rPr>
                <w:rFonts w:hint="eastAsia" w:cs="仿宋_GB2312"/>
                <w:i w:val="0"/>
                <w:iCs w:val="0"/>
                <w:lang w:val="en-US" w:eastAsia="zh-CN"/>
              </w:rPr>
              <w:t>1</w:t>
            </w:r>
          </w:p>
        </w:tc>
        <w:tc>
          <w:tcPr>
            <w:tcW w:w="566" w:type="pct"/>
            <w:vAlign w:val="center"/>
          </w:tcPr>
          <w:p w14:paraId="44CD1419">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批</w:t>
            </w:r>
          </w:p>
        </w:tc>
        <w:tc>
          <w:tcPr>
            <w:tcW w:w="1132" w:type="pct"/>
            <w:vAlign w:val="center"/>
          </w:tcPr>
          <w:p w14:paraId="3008BD2F">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建筑业</w:t>
            </w:r>
          </w:p>
        </w:tc>
        <w:tc>
          <w:tcPr>
            <w:tcW w:w="1133" w:type="pct"/>
            <w:vAlign w:val="center"/>
          </w:tcPr>
          <w:p w14:paraId="50F7DD3A">
            <w:pPr>
              <w:pStyle w:val="10"/>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cs="仿宋_GB2312"/>
                <w:i w:val="0"/>
                <w:iCs w:val="0"/>
              </w:rPr>
            </w:pPr>
            <w:r>
              <w:rPr>
                <w:rFonts w:hint="eastAsia"/>
                <w:i w:val="0"/>
                <w:iCs w:val="0"/>
                <w:sz w:val="20"/>
                <w:szCs w:val="22"/>
                <w:vertAlign w:val="baseline"/>
                <w:lang w:val="en-US" w:eastAsia="zh-CN"/>
              </w:rPr>
              <w:t>/</w:t>
            </w:r>
          </w:p>
        </w:tc>
      </w:tr>
      <w:bookmarkEnd w:id="3"/>
      <w:bookmarkEnd w:id="4"/>
    </w:tbl>
    <w:p w14:paraId="2B8428E7">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r>
        <w:rPr>
          <w:rFonts w:hint="eastAsia"/>
          <w:b/>
          <w:bCs/>
          <w:i w:val="0"/>
          <w:iCs w:val="0"/>
        </w:rPr>
        <w:t>要求/备注说明</w:t>
      </w:r>
    </w:p>
    <w:tbl>
      <w:tblPr>
        <w:tblStyle w:val="8"/>
        <w:tblW w:w="5000" w:type="pct"/>
        <w:jc w:val="center"/>
        <w:tblLayout w:type="autofit"/>
        <w:tblCellMar>
          <w:top w:w="0" w:type="dxa"/>
          <w:left w:w="108" w:type="dxa"/>
          <w:bottom w:w="0" w:type="dxa"/>
          <w:right w:w="108" w:type="dxa"/>
        </w:tblCellMar>
      </w:tblPr>
      <w:tblGrid>
        <w:gridCol w:w="1240"/>
        <w:gridCol w:w="7286"/>
      </w:tblGrid>
      <w:tr w14:paraId="3BAE6875">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0521B87B">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23747361">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4284C5B">
        <w:tblPrEx>
          <w:tblCellMar>
            <w:top w:w="0" w:type="dxa"/>
            <w:left w:w="108" w:type="dxa"/>
            <w:bottom w:w="0" w:type="dxa"/>
            <w:right w:w="108" w:type="dxa"/>
          </w:tblCellMar>
        </w:tblPrEx>
        <w:trPr>
          <w:trHeight w:val="702"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975EFE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5CC76252">
            <w:pPr>
              <w:pStyle w:val="10"/>
              <w:pageBreakBefore w:val="0"/>
              <w:widowControl w:val="0"/>
              <w:kinsoku/>
              <w:overflowPunct/>
              <w:topLinePunct w:val="0"/>
              <w:autoSpaceDE/>
              <w:autoSpaceDN/>
              <w:bidi w:val="0"/>
              <w:adjustRightInd/>
              <w:snapToGrid/>
              <w:spacing w:line="360" w:lineRule="auto"/>
              <w:textAlignment w:val="auto"/>
              <w:rPr>
                <w:i w:val="0"/>
                <w:iCs w:val="0"/>
              </w:rPr>
            </w:pPr>
            <w:r>
              <w:rPr>
                <w:rFonts w:hint="eastAsia"/>
                <w:i w:val="0"/>
                <w:iCs w:val="0"/>
              </w:rPr>
              <w:t>采购清单要求/备注栏中注明“节能产品”的标的，为强制采购节能产品。依据财库〔</w:t>
            </w:r>
            <w:r>
              <w:rPr>
                <w:i w:val="0"/>
                <w:iCs w:val="0"/>
              </w:rPr>
              <w:t>2019〕</w:t>
            </w:r>
            <w:r>
              <w:rPr>
                <w:rFonts w:hint="eastAsia"/>
                <w:i w:val="0"/>
                <w:iCs w:val="0"/>
              </w:rPr>
              <w:t>9号文的规定，应提供国家确定的认证机构出具的节能产品认证证书。</w:t>
            </w:r>
          </w:p>
        </w:tc>
      </w:tr>
      <w:tr w14:paraId="435F3B6E">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3DF4291D">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153348C8">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采购清单要求/备注栏中注明“适宜中小企业提供”的标的，应当按照竞争性磋商文件要求全部或部分由联合体提供或进行合同分包。</w:t>
            </w:r>
          </w:p>
        </w:tc>
      </w:tr>
      <w:tr w14:paraId="41624FD6">
        <w:tblPrEx>
          <w:tblCellMar>
            <w:top w:w="0" w:type="dxa"/>
            <w:left w:w="108" w:type="dxa"/>
            <w:bottom w:w="0" w:type="dxa"/>
            <w:right w:w="108" w:type="dxa"/>
          </w:tblCellMar>
        </w:tblPrEx>
        <w:trPr>
          <w:trHeight w:val="548" w:hRule="atLeast"/>
          <w:jc w:val="center"/>
        </w:trPr>
        <w:tc>
          <w:tcPr>
            <w:tcW w:w="727" w:type="pct"/>
            <w:tcBorders>
              <w:top w:val="single" w:color="auto" w:sz="4" w:space="0"/>
              <w:left w:val="single" w:color="auto" w:sz="4" w:space="0"/>
              <w:bottom w:val="single" w:color="auto" w:sz="4" w:space="0"/>
              <w:right w:val="single" w:color="auto" w:sz="4" w:space="0"/>
            </w:tcBorders>
            <w:vAlign w:val="center"/>
          </w:tcPr>
          <w:p w14:paraId="4BAA6FFA">
            <w:pPr>
              <w:pStyle w:val="10"/>
              <w:pageBreakBefore w:val="0"/>
              <w:widowControl w:val="0"/>
              <w:kinsoku/>
              <w:overflowPunct/>
              <w:topLinePunct w:val="0"/>
              <w:autoSpaceDE/>
              <w:autoSpaceDN/>
              <w:bidi w:val="0"/>
              <w:adjustRightInd/>
              <w:snapToGrid/>
              <w:spacing w:line="360" w:lineRule="auto"/>
              <w:textAlignment w:val="auto"/>
              <w:rPr>
                <w:b/>
                <w:bCs/>
                <w:i w:val="0"/>
                <w:iCs w:val="0"/>
              </w:rPr>
            </w:pPr>
            <w:r>
              <w:rPr>
                <w:rFonts w:hint="eastAsia"/>
                <w:b/>
                <w:bCs/>
                <w:i w:val="0"/>
                <w:iCs w:val="0"/>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717B028C">
            <w:pPr>
              <w:pStyle w:val="10"/>
              <w:pageBreakBefore w:val="0"/>
              <w:widowControl w:val="0"/>
              <w:kinsoku/>
              <w:overflowPunct/>
              <w:topLinePunct w:val="0"/>
              <w:autoSpaceDE/>
              <w:autoSpaceDN/>
              <w:bidi w:val="0"/>
              <w:adjustRightInd/>
              <w:snapToGrid/>
              <w:spacing w:line="360" w:lineRule="auto"/>
              <w:textAlignment w:val="auto"/>
              <w:rPr>
                <w:i w:val="0"/>
                <w:iCs w:val="0"/>
                <w:sz w:val="20"/>
                <w:szCs w:val="20"/>
              </w:rPr>
            </w:pPr>
            <w:r>
              <w:rPr>
                <w:rFonts w:hint="eastAsia"/>
                <w:i w:val="0"/>
                <w:iCs w:val="0"/>
                <w:sz w:val="20"/>
                <w:szCs w:val="20"/>
              </w:rPr>
              <w:t>采购清单要求/备注栏中未注明“允许分包”的标的，不得合同分包。</w:t>
            </w:r>
          </w:p>
        </w:tc>
      </w:tr>
    </w:tbl>
    <w:p w14:paraId="5B09664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6F09ACD4">
      <w:pPr>
        <w:pStyle w:val="6"/>
      </w:pPr>
    </w:p>
    <w:p w14:paraId="7B689E69">
      <w:pPr>
        <w:pageBreakBefore w:val="0"/>
        <w:widowControl w:val="0"/>
        <w:kinsoku/>
        <w:overflowPunct/>
        <w:topLinePunct w:val="0"/>
        <w:autoSpaceDE/>
        <w:autoSpaceDN/>
        <w:bidi w:val="0"/>
        <w:adjustRightInd/>
        <w:snapToGrid/>
        <w:spacing w:line="360" w:lineRule="auto"/>
        <w:ind w:left="0" w:firstLine="482" w:firstLineChars="200"/>
        <w:textAlignment w:val="auto"/>
        <w:rPr>
          <w:b/>
          <w:bCs/>
          <w:i w:val="0"/>
          <w:iCs w:val="0"/>
        </w:rPr>
      </w:pPr>
    </w:p>
    <w:p w14:paraId="1ED36387">
      <w:pPr>
        <w:pStyle w:val="2"/>
        <w:rPr>
          <w:b/>
          <w:bCs/>
          <w:i w:val="0"/>
          <w:iCs w:val="0"/>
        </w:rPr>
      </w:pPr>
    </w:p>
    <w:p w14:paraId="5A115D08">
      <w:pPr>
        <w:pStyle w:val="2"/>
        <w:rPr>
          <w:b/>
          <w:bCs/>
          <w:i w:val="0"/>
          <w:iCs w:val="0"/>
        </w:rPr>
      </w:pPr>
      <w:bookmarkStart w:id="7" w:name="_GoBack"/>
      <w:bookmarkEnd w:id="7"/>
    </w:p>
    <w:p w14:paraId="32D90381">
      <w:pPr>
        <w:pStyle w:val="11"/>
        <w:pageBreakBefore w:val="0"/>
        <w:widowControl w:val="0"/>
        <w:kinsoku/>
        <w:overflowPunct/>
        <w:topLinePunct w:val="0"/>
        <w:autoSpaceDE/>
        <w:autoSpaceDN/>
        <w:bidi w:val="0"/>
        <w:adjustRightInd/>
        <w:snapToGrid/>
        <w:spacing w:line="360" w:lineRule="auto"/>
        <w:ind w:left="0" w:leftChars="0" w:firstLine="0" w:firstLineChars="0"/>
        <w:textAlignment w:val="auto"/>
        <w:rPr>
          <w:i w:val="0"/>
          <w:iCs w:val="0"/>
        </w:rPr>
      </w:pPr>
      <w:bookmarkStart w:id="5" w:name="_Toc156490322"/>
    </w:p>
    <w:p w14:paraId="1CFD7BF4">
      <w:pPr>
        <w:pStyle w:val="15"/>
        <w:tabs>
          <w:tab w:val="left" w:pos="1679"/>
        </w:tabs>
        <w:spacing w:before="37"/>
        <w:ind w:left="0" w:right="43"/>
        <w:rPr>
          <w:rFonts w:hint="eastAsia" w:ascii="方正仿宋_GB2312" w:hAnsi="方正仿宋_GB2312" w:eastAsia="方正仿宋_GB2312" w:cs="方正仿宋_GB2312"/>
          <w:spacing w:val="-2"/>
          <w:lang w:val="en-US" w:eastAsia="zh-CN"/>
        </w:rPr>
      </w:pPr>
      <w:bookmarkStart w:id="6" w:name="_Toc10836"/>
      <w:r>
        <w:rPr>
          <w:rFonts w:hint="eastAsia" w:ascii="方正仿宋_GB2312" w:hAnsi="方正仿宋_GB2312" w:eastAsia="方正仿宋_GB2312" w:cs="方正仿宋_GB2312"/>
          <w:spacing w:val="-2"/>
          <w:lang w:val="en-US" w:eastAsia="zh-CN"/>
        </w:rPr>
        <w:t>采购需求</w:t>
      </w:r>
    </w:p>
    <w:p w14:paraId="1409BBB2">
      <w:pPr>
        <w:ind w:firstLine="0" w:firstLineChars="0"/>
        <w:jc w:val="left"/>
        <w:rPr>
          <w:rFonts w:hint="eastAsia" w:ascii="方正仿宋_GB2312" w:hAnsi="方正仿宋_GB2312" w:eastAsia="方正仿宋_GB2312" w:cs="方正仿宋_GB2312"/>
          <w:szCs w:val="24"/>
          <w:highlight w:val="none"/>
        </w:rPr>
      </w:pPr>
    </w:p>
    <w:p w14:paraId="36796798">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eastAsia" w:ascii="方正仿宋_GB2312" w:hAnsi="方正仿宋_GB2312" w:eastAsia="方正仿宋_GB2312" w:cs="方正仿宋_GB2312"/>
          <w:b w:val="0"/>
          <w:bCs w:val="0"/>
          <w:i w:val="0"/>
          <w:iCs w:val="0"/>
          <w:snapToGrid w:val="0"/>
          <w:kern w:val="2"/>
          <w:sz w:val="24"/>
          <w:szCs w:val="24"/>
          <w:lang w:val="en-US" w:eastAsia="zh-CN" w:bidi="ar-SA"/>
        </w:rPr>
      </w:pPr>
      <w:r>
        <w:rPr>
          <w:rFonts w:hint="eastAsia" w:ascii="方正仿宋_GB2312" w:hAnsi="方正仿宋_GB2312" w:eastAsia="方正仿宋_GB2312" w:cs="方正仿宋_GB2312"/>
          <w:b w:val="0"/>
          <w:bCs w:val="0"/>
          <w:i w:val="0"/>
          <w:iCs w:val="0"/>
          <w:snapToGrid w:val="0"/>
          <w:kern w:val="2"/>
          <w:sz w:val="24"/>
          <w:szCs w:val="24"/>
          <w:lang w:val="en-US" w:eastAsia="zh-CN" w:bidi="ar-SA"/>
        </w:rPr>
        <w:t>一、项目概况</w:t>
      </w:r>
    </w:p>
    <w:p w14:paraId="4539D02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（一）项目名称、施工内容及施工地点</w:t>
      </w:r>
    </w:p>
    <w:p w14:paraId="099929A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1.项目名称：鄂州市华容区临江乡中心小学维修工程</w:t>
      </w:r>
    </w:p>
    <w:p w14:paraId="0E2ECD5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2.建设地点：鄂州市华容区临江乡中心小学</w:t>
      </w:r>
    </w:p>
    <w:p w14:paraId="6F38DD8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highlight w:val="none"/>
          <w:lang w:val="en-US" w:eastAsia="zh-CN"/>
        </w:rPr>
      </w:pPr>
      <w:r>
        <w:rPr>
          <w:rFonts w:hint="eastAsia" w:ascii="方正仿宋_GB2312" w:hAnsi="方正仿宋_GB2312" w:eastAsia="方正仿宋_GB2312" w:cs="方正仿宋_GB2312"/>
          <w:i w:val="0"/>
          <w:iCs w:val="0"/>
          <w:snapToGrid w:val="0"/>
          <w:szCs w:val="24"/>
          <w:highlight w:val="none"/>
          <w:lang w:val="en-US" w:eastAsia="zh-CN"/>
        </w:rPr>
        <w:t>3.预算金额（万元）：104.81万元</w:t>
      </w:r>
    </w:p>
    <w:p w14:paraId="760FBDF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highlight w:val="none"/>
          <w:lang w:val="en-US" w:eastAsia="zh-CN"/>
        </w:rPr>
      </w:pPr>
      <w:r>
        <w:rPr>
          <w:rFonts w:hint="eastAsia" w:ascii="方正仿宋_GB2312" w:hAnsi="方正仿宋_GB2312" w:eastAsia="方正仿宋_GB2312" w:cs="方正仿宋_GB2312"/>
          <w:i w:val="0"/>
          <w:iCs w:val="0"/>
          <w:snapToGrid w:val="0"/>
          <w:szCs w:val="24"/>
          <w:highlight w:val="none"/>
          <w:lang w:val="en-US" w:eastAsia="zh-CN"/>
        </w:rPr>
        <w:t>4.最高限价（万元）：77.251995万元</w:t>
      </w:r>
    </w:p>
    <w:p w14:paraId="1378DEC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highlight w:val="none"/>
          <w:lang w:val="en-US" w:eastAsia="zh-CN"/>
        </w:rPr>
      </w:pPr>
      <w:r>
        <w:rPr>
          <w:rFonts w:hint="eastAsia" w:ascii="方正仿宋_GB2312" w:hAnsi="方正仿宋_GB2312" w:eastAsia="方正仿宋_GB2312" w:cs="方正仿宋_GB2312"/>
          <w:i w:val="0"/>
          <w:iCs w:val="0"/>
          <w:snapToGrid w:val="0"/>
          <w:szCs w:val="24"/>
          <w:highlight w:val="none"/>
          <w:lang w:val="en-US" w:eastAsia="zh-CN"/>
        </w:rPr>
        <w:t>5.合同履约工期：</w:t>
      </w:r>
      <w:r>
        <w:rPr>
          <w:rFonts w:hint="eastAsia" w:ascii="方正仿宋_GB2312" w:hAnsi="方正仿宋_GB2312" w:eastAsia="方正仿宋_GB2312" w:cs="方正仿宋_GB2312"/>
          <w:i w:val="0"/>
          <w:iCs w:val="0"/>
          <w:snapToGrid w:val="0"/>
          <w:color w:val="auto"/>
          <w:szCs w:val="24"/>
          <w:highlight w:val="none"/>
          <w:lang w:val="en-US" w:eastAsia="zh-CN"/>
        </w:rPr>
        <w:t>50日历天</w:t>
      </w:r>
    </w:p>
    <w:p w14:paraId="33B0BA1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highlight w:val="none"/>
          <w:lang w:val="en-US" w:eastAsia="zh-CN"/>
        </w:rPr>
        <w:t>6、施工内容：具体内</w:t>
      </w:r>
      <w:r>
        <w:rPr>
          <w:rFonts w:hint="eastAsia" w:ascii="方正仿宋_GB2312" w:hAnsi="方正仿宋_GB2312" w:eastAsia="方正仿宋_GB2312" w:cs="方正仿宋_GB2312"/>
          <w:i w:val="0"/>
          <w:iCs w:val="0"/>
          <w:snapToGrid w:val="0"/>
          <w:szCs w:val="24"/>
          <w:lang w:val="en-US" w:eastAsia="zh-CN"/>
        </w:rPr>
        <w:t>容详见“施工图、工程量清单”。</w:t>
      </w:r>
    </w:p>
    <w:p w14:paraId="37C38EB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7、特定资格要</w:t>
      </w:r>
      <w:r>
        <w:rPr>
          <w:rFonts w:hint="eastAsia" w:ascii="方正仿宋_GB2312" w:hAnsi="方正仿宋_GB2312" w:eastAsia="方正仿宋_GB2312" w:cs="方正仿宋_GB2312"/>
          <w:i w:val="0"/>
          <w:iCs w:val="0"/>
          <w:snapToGrid w:val="0"/>
          <w:szCs w:val="24"/>
          <w:highlight w:val="none"/>
          <w:lang w:val="en-US" w:eastAsia="zh-CN"/>
        </w:rPr>
        <w:t>求：（1）供应商须具备建设行政主管部门颁发的建筑工程施工总承包叁级及以上资质和有效的安全生产许可证。（</w:t>
      </w:r>
      <w:r>
        <w:rPr>
          <w:rFonts w:hint="eastAsia" w:ascii="方正仿宋_GB2312" w:hAnsi="方正仿宋_GB2312" w:eastAsia="方正仿宋_GB2312" w:cs="方正仿宋_GB2312"/>
          <w:i w:val="0"/>
          <w:iCs w:val="0"/>
          <w:snapToGrid w:val="0"/>
          <w:szCs w:val="24"/>
          <w:lang w:val="en-US" w:eastAsia="zh-CN"/>
        </w:rPr>
        <w:t>2）供应商拟派项目经理须具备建筑工程专业贰级及以上注册建造师执业资格证，有效的安全生产考核合格证书（B证），且为供应商的在职员工，项目经理须提供无在建项目的承诺书。</w:t>
      </w:r>
    </w:p>
    <w:p w14:paraId="3238DC8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（二）承包方式及说明：</w:t>
      </w:r>
    </w:p>
    <w:p w14:paraId="7C6DF68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1、响应投标人根据采购人提供工程量清单、相关资料及编制依据总说明，按工程量清单报价，采用固定单价方式承包。</w:t>
      </w:r>
    </w:p>
    <w:p w14:paraId="447F133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响应投标人应依据施工图纸（如有）及招标文件认真核对工程量清单。如响应投标人认为工程量清单有漏缺项或存在较大的错误，响应投标人应在招标答疑期间提出，经招标人核对后修正，同时将修改后的工程量清单发给所有响应投标人。</w:t>
      </w:r>
    </w:p>
    <w:p w14:paraId="3E41731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3、响应投标人应当对充分了解工程施工现场和周围环境，以获得由响应投标人自己负责的有关编制投标文件和签署合同的所有信息，一旦中标这种考察即被认为其结果已在投标文件中的充分反映；若因本项目实施中可能出现其它未知因素和招标文件无法体现的内容而产生费用，该费用由投标方承担。</w:t>
      </w:r>
    </w:p>
    <w:p w14:paraId="25C88F1C">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4、招标人向响应投标人提供的有关现场的数据和资料，是招标人现有的能被响应投标人利用的资料，招标人对响应投标人做出的任何推论、理解和结论均不负责任。</w:t>
      </w:r>
    </w:p>
    <w:p w14:paraId="2BC124C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5、本工程的投标报价办法：用工程量清单计价办法。工程量清单项目设置及计算规则按《湖北省建设工程工程量清单计价规定》执行，投标报价依据施工设计图纸，施工现场情况，施工方案，并依照工程量清单、清单规范、定额，工程造价主管部门的有关规定及发布的人工、材料、机械参考价，并自行考虑风险等情况进行编制。本招标工程计价参考资料：按省（市）相关造价文件规定执行。</w:t>
      </w:r>
    </w:p>
    <w:p w14:paraId="7D45601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二、商务要求</w:t>
      </w:r>
    </w:p>
    <w:p w14:paraId="4701E18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（一）报价要求</w:t>
      </w:r>
    </w:p>
    <w:p w14:paraId="16277B7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1.响应投标人应按招标人提供的工程量清单项目及工程量进行报价，且投标报价的编制须符合最新版《建设工程工程量清单计价规范》相关规定。</w:t>
      </w:r>
    </w:p>
    <w:p w14:paraId="3A9816C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2.响应投标人应结合建筑市场、自身施工能力、经营状况，充分考虑市场竞争和施工过程中承担风险的能力等。报价投标人应按企业的实际情况自行报价，但不得低于本企业成本价。</w:t>
      </w:r>
    </w:p>
    <w:p w14:paraId="4061B2F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（二）类似业绩</w:t>
      </w:r>
    </w:p>
    <w:p w14:paraId="29D4208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投标人需具备2020年7月至今的类似项目业绩。</w:t>
      </w:r>
    </w:p>
    <w:p w14:paraId="0EDD816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（三）项目团队</w:t>
      </w:r>
    </w:p>
    <w:p w14:paraId="2668E3C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拟派项目其他成员需具有相关岗位证书。</w:t>
      </w:r>
    </w:p>
    <w:p w14:paraId="247823D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三、技术要求</w:t>
      </w:r>
    </w:p>
    <w:p w14:paraId="44A6D7F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（一）工期要求</w:t>
      </w:r>
    </w:p>
    <w:p w14:paraId="42F2B11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1.中标通知书发出后</w:t>
      </w:r>
      <w:r>
        <w:rPr>
          <w:rFonts w:hint="eastAsia" w:ascii="方正仿宋_GB2312" w:hAnsi="方正仿宋_GB2312" w:eastAsia="方正仿宋_GB2312" w:cs="方正仿宋_GB2312"/>
          <w:i w:val="0"/>
          <w:iCs w:val="0"/>
          <w:snapToGrid w:val="0"/>
          <w:color w:val="auto"/>
          <w:szCs w:val="24"/>
          <w:highlight w:val="none"/>
          <w:lang w:val="en-US" w:eastAsia="zh-CN"/>
        </w:rPr>
        <w:t>15天</w:t>
      </w:r>
      <w:r>
        <w:rPr>
          <w:rFonts w:hint="eastAsia" w:ascii="方正仿宋_GB2312" w:hAnsi="方正仿宋_GB2312" w:eastAsia="方正仿宋_GB2312" w:cs="方正仿宋_GB2312"/>
          <w:i w:val="0"/>
          <w:iCs w:val="0"/>
          <w:snapToGrid w:val="0"/>
          <w:szCs w:val="24"/>
          <w:lang w:val="en-US" w:eastAsia="zh-CN"/>
        </w:rPr>
        <w:t>内签订合同，合同签订后50日历天内完成。</w:t>
      </w:r>
    </w:p>
    <w:p w14:paraId="067FC21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2.因中标人的原因造成工期延误的，中标人应当按日向招标人支付违约金，违约金金额最高不超过成交价的10%。延误超过30日历天的，甲方有权解除合同。由于招标人原因导致的工期延误，工期顺延。</w:t>
      </w:r>
    </w:p>
    <w:p w14:paraId="69EE964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（二）质量要求</w:t>
      </w:r>
    </w:p>
    <w:p w14:paraId="31F1BAC9">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color w:val="auto"/>
          <w:szCs w:val="24"/>
          <w:highlight w:val="none"/>
          <w:lang w:val="en-US" w:eastAsia="zh-CN"/>
        </w:rPr>
      </w:pPr>
      <w:r>
        <w:rPr>
          <w:rFonts w:hint="eastAsia" w:ascii="方正仿宋_GB2312" w:hAnsi="方正仿宋_GB2312" w:eastAsia="方正仿宋_GB2312" w:cs="方正仿宋_GB2312"/>
          <w:i w:val="0"/>
          <w:iCs w:val="0"/>
          <w:snapToGrid w:val="0"/>
          <w:color w:val="auto"/>
          <w:szCs w:val="24"/>
          <w:highlight w:val="none"/>
          <w:lang w:val="en-US" w:eastAsia="zh-CN"/>
        </w:rPr>
        <w:t>1、响应投标人应对工程的重难点充分了解，并对重难点进行分析和提出解决方案，对施工组织设计有合理的安排，包括但不限于：主要施工方法，劳动力安排计划，确保工程质量的技术组织措施，确保工程安全生产的技术组织措施，确保工程工期的技术组织措施，确保工程文明施工的技术组织措施，施工总进度表或施工网格图，施工组织设计的针对性和完整性的设计和措施。</w:t>
      </w:r>
    </w:p>
    <w:p w14:paraId="0BB9C0B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2、中标人必须严格按照招标人要求施工，确保一次性验收合格；达到国家及行业现行相关规范合格标准。</w:t>
      </w:r>
    </w:p>
    <w:p w14:paraId="7BE6133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3、为确保项目实施过程中严格按照设计标准实施，项目负责人必须每天到施工现场监督管理，并且每天上、下午按时到招标人项目管理科室签到。</w:t>
      </w:r>
    </w:p>
    <w:p w14:paraId="0C878CAE">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4、中标人在施工中如果工程质量不符合设计要求和有关规定，招标人要求停工和返工时，中标人须立即执行，并承担由此产生的各种费用，工期不予顺延。否则，停止支付工程费，招标人保留追究中标人相应的法律责任的权利。</w:t>
      </w:r>
    </w:p>
    <w:p w14:paraId="6C7E50A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（三）安全文明施工要求</w:t>
      </w:r>
    </w:p>
    <w:p w14:paraId="74DE4631">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1、中标人的施工服务队伍资质要得到行业主管部门认可，施工前向用户递交派出人员名单，严禁使用未成年工和不适应现场安全施工要求的老弱病残人员进行施工。</w:t>
      </w:r>
    </w:p>
    <w:p w14:paraId="4FD24C8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2、在施工期间应严格遵守国家、省、市有关防火、爆破和施工安全以及文明施工、环卫和城管等规定，建立规章制度和防护措施。否则，由此造成的经济和法律责任均由中标人负责。</w:t>
      </w:r>
    </w:p>
    <w:p w14:paraId="2F2DA77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3、中标人应按安全施工的要求，采取严格科学的安全措施，做好从进场施工开始到验收结束交付工程前的安全施工预防措施，并制定相应的应急预案，确保施工安全和第三者的安全，中标人完全承担出于自身安全措施不力所造成的事故责任和发生的费用。</w:t>
      </w:r>
    </w:p>
    <w:p w14:paraId="22252E0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4、中标人的施工队伍必须接受现场管理单位的监督、管理和指导。</w:t>
      </w:r>
    </w:p>
    <w:p w14:paraId="658EA90A">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5、中标人应在招标人确定施工条件已具备后，3天内与招标人确定开始施工日期。</w:t>
      </w:r>
    </w:p>
    <w:p w14:paraId="3EC0EC8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6、中标人进场所要的现场工作条件及施工中，需要招标人配合承担的工程由中标人在投标时提出,签署合同时也作为合同的补充附件。</w:t>
      </w:r>
    </w:p>
    <w:p w14:paraId="4B333418">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b/>
          <w:bCs/>
          <w:i w:val="0"/>
          <w:iCs w:val="0"/>
          <w:snapToGrid w:val="0"/>
          <w:szCs w:val="24"/>
          <w:lang w:val="en-US" w:eastAsia="zh-CN"/>
        </w:rPr>
        <w:t>（四）承包方式</w:t>
      </w:r>
    </w:p>
    <w:p w14:paraId="307ADEE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☑固定单价合同方式：</w:t>
      </w:r>
    </w:p>
    <w:p w14:paraId="2B30DF3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投标报价文件包含投标总价及综合单价时，综合单价为合同单价。工程量清单项目的综合单价在约定条件及范围内是固定的，工程量按实结算，工程量清单项目综合单价在约定的条件及范围外，允许调整，调整的金额不得超过合同金额的百分之十”。</w:t>
      </w:r>
    </w:p>
    <w:p w14:paraId="09ED275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□固定总价合同方式：</w:t>
      </w:r>
    </w:p>
    <w:p w14:paraId="0F21B7D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投标报价文件包含投标总价及综合单价时，投标总价为合同总价。合同总价在招标文件及施工合同约定的风险范围之内(图纸、招标文件以及技术资料的固定)不可调整,当施工过程中发生设计变更的，按照规定予以增减造价。</w:t>
      </w:r>
    </w:p>
    <w:p w14:paraId="141EB744">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b/>
          <w:bCs/>
          <w:i w:val="0"/>
          <w:iCs w:val="0"/>
          <w:snapToGrid w:val="0"/>
          <w:szCs w:val="24"/>
          <w:lang w:val="en-US" w:eastAsia="zh-CN"/>
        </w:rPr>
        <w:t>（五）质保期要求</w:t>
      </w:r>
    </w:p>
    <w:p w14:paraId="273677B5">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1、本工程的成活养护期按国家相关规定执行，自全部工程竣工双方签字验收合格之日起算。</w:t>
      </w:r>
    </w:p>
    <w:p w14:paraId="5A37C28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2、在工程保修期内，中标人应当根据有关法律以及合同规定，在约定的保修范围、保修期限内承担保修责任。保修的费用由造成质量缺陷的责任方承担。</w:t>
      </w:r>
    </w:p>
    <w:p w14:paraId="13C657D1">
      <w:pPr>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b/>
          <w:bCs/>
          <w:i w:val="0"/>
          <w:iCs w:val="0"/>
          <w:snapToGrid w:val="0"/>
          <w:szCs w:val="24"/>
          <w:lang w:val="en-US" w:eastAsia="zh-CN"/>
        </w:rPr>
        <w:t>（六）工程量增减调整方法规定</w:t>
      </w:r>
    </w:p>
    <w:p w14:paraId="7309D8E6">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1、所有设计变更、洽商记录、图纸会审纪录、施工组织设计等涉及工程内容及工程量的变化可能导致合同价款调整的必须在该事实发生后5天内经招标人会签；其中设计变更、现场签证、施工组织设计需经现场代表及招标人有关人员共同会签，才可作为合同价款调整依据，否则，结算时不予认可。</w:t>
      </w:r>
    </w:p>
    <w:p w14:paraId="03F8D5F0">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2、已标价工程量清单中有适用于变更工程的子目的，采用该子目的单价。</w:t>
      </w:r>
    </w:p>
    <w:p w14:paraId="24201F3F">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3、已标价工程量清单中无适用于变更工程的子目，但有类似子目的，可在合理范围内参照类似子目的单价，由招标人与中标人商定。</w:t>
      </w:r>
    </w:p>
    <w:p w14:paraId="552543C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4、已标价工程量清单中无适用或类似子目的单价，由招标人与中标人商定。</w:t>
      </w:r>
    </w:p>
    <w:p w14:paraId="0FDFDC48">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方正仿宋_GB2312" w:hAnsi="方正仿宋_GB2312" w:eastAsia="方正仿宋_GB2312" w:cs="方正仿宋_GB2312"/>
          <w:i w:val="0"/>
          <w:iCs w:val="0"/>
          <w:snapToGrid w:val="0"/>
          <w:szCs w:val="24"/>
          <w:lang w:val="en-US" w:eastAsia="zh-CN"/>
        </w:rPr>
      </w:pPr>
      <w:r>
        <w:rPr>
          <w:rFonts w:hint="eastAsia" w:ascii="方正仿宋_GB2312" w:hAnsi="方正仿宋_GB2312" w:eastAsia="方正仿宋_GB2312" w:cs="方正仿宋_GB2312"/>
          <w:i w:val="0"/>
          <w:iCs w:val="0"/>
          <w:snapToGrid w:val="0"/>
          <w:szCs w:val="24"/>
          <w:lang w:val="en-US" w:eastAsia="zh-CN"/>
        </w:rPr>
        <w:t>四、付款方式：</w:t>
      </w:r>
    </w:p>
    <w:p w14:paraId="267E9806">
      <w:pPr>
        <w:pStyle w:val="15"/>
        <w:tabs>
          <w:tab w:val="left" w:pos="1679"/>
        </w:tabs>
        <w:spacing w:before="37"/>
        <w:ind w:left="0" w:right="43" w:firstLine="440" w:firstLineChars="200"/>
        <w:jc w:val="both"/>
        <w:rPr>
          <w:rFonts w:hint="eastAsia" w:ascii="方正仿宋_GB2312" w:hAnsi="方正仿宋_GB2312" w:eastAsia="方正仿宋_GB2312" w:cs="方正仿宋_GB2312"/>
          <w:b w:val="0"/>
          <w:bCs w:val="0"/>
          <w:i w:val="0"/>
          <w:iCs w:val="0"/>
          <w:snapToGrid w:val="0"/>
          <w:sz w:val="22"/>
          <w:szCs w:val="24"/>
          <w:lang w:val="en-US" w:eastAsia="zh-CN" w:bidi="ar-SA"/>
        </w:rPr>
      </w:pPr>
      <w:r>
        <w:rPr>
          <w:rFonts w:hint="eastAsia" w:ascii="方正仿宋_GB2312" w:hAnsi="方正仿宋_GB2312" w:eastAsia="方正仿宋_GB2312" w:cs="方正仿宋_GB2312"/>
          <w:b w:val="0"/>
          <w:bCs w:val="0"/>
          <w:i w:val="0"/>
          <w:iCs w:val="0"/>
          <w:snapToGrid w:val="0"/>
          <w:sz w:val="22"/>
          <w:szCs w:val="24"/>
          <w:lang w:val="en-US" w:eastAsia="zh-CN" w:bidi="ar-SA"/>
        </w:rPr>
        <w:t>甲乙双方在签订合同时协商约定。</w:t>
      </w:r>
    </w:p>
    <w:p w14:paraId="6D4C3B10">
      <w:pPr>
        <w:pStyle w:val="4"/>
        <w:pageBreakBefore w:val="0"/>
        <w:widowControl w:val="0"/>
        <w:numPr>
          <w:ilvl w:val="0"/>
          <w:numId w:val="0"/>
        </w:numPr>
        <w:kinsoku/>
        <w:overflowPunct/>
        <w:topLinePunct w:val="0"/>
        <w:autoSpaceDE/>
        <w:autoSpaceDN/>
        <w:bidi w:val="0"/>
        <w:adjustRightInd/>
        <w:snapToGrid/>
        <w:spacing w:before="0" w:after="0" w:line="360" w:lineRule="auto"/>
        <w:textAlignment w:val="auto"/>
        <w:rPr>
          <w:rFonts w:hint="eastAsia" w:ascii="宋体" w:hAnsi="宋体" w:eastAsia="宋体" w:cs="仿宋_GB2312"/>
          <w:b w:val="0"/>
          <w:bCs w:val="0"/>
          <w:i w:val="0"/>
          <w:iCs w:val="0"/>
          <w:snapToGrid w:val="0"/>
          <w:kern w:val="2"/>
          <w:sz w:val="24"/>
          <w:szCs w:val="24"/>
          <w:lang w:val="zh-CN" w:eastAsia="zh-CN" w:bidi="ar-SA"/>
        </w:rPr>
      </w:pPr>
    </w:p>
    <w:bookmarkEnd w:id="5"/>
    <w:bookmarkEnd w:id="6"/>
    <w:p w14:paraId="40D211A6">
      <w:pPr>
        <w:pStyle w:val="6"/>
        <w:rPr>
          <w:rFonts w:hint="eastAsia" w:cs="仿宋_GB2312"/>
          <w:i w:val="0"/>
          <w:iCs w:val="0"/>
          <w:snapToGrid w:val="0"/>
          <w:szCs w:val="24"/>
          <w:lang w:val="zh-CN"/>
        </w:rPr>
      </w:pPr>
    </w:p>
    <w:p w14:paraId="632E8383">
      <w:pPr>
        <w:pStyle w:val="6"/>
        <w:rPr>
          <w:rFonts w:hint="eastAsia" w:cs="仿宋_GB2312"/>
          <w:i w:val="0"/>
          <w:iCs w:val="0"/>
          <w:snapToGrid w:val="0"/>
          <w:szCs w:val="24"/>
          <w:lang w:val="zh-CN"/>
        </w:rPr>
      </w:pPr>
    </w:p>
    <w:p w14:paraId="503B6E51">
      <w:pPr>
        <w:pStyle w:val="6"/>
        <w:rPr>
          <w:rFonts w:hint="eastAsia" w:cs="仿宋_GB2312"/>
          <w:i w:val="0"/>
          <w:iCs w:val="0"/>
          <w:snapToGrid w:val="0"/>
          <w:szCs w:val="24"/>
          <w:lang w:val="zh-CN"/>
        </w:rPr>
      </w:pPr>
    </w:p>
    <w:p w14:paraId="36997545">
      <w:pPr>
        <w:pStyle w:val="6"/>
        <w:rPr>
          <w:rFonts w:hint="eastAsia" w:cs="仿宋_GB2312"/>
          <w:i w:val="0"/>
          <w:iCs w:val="0"/>
          <w:snapToGrid w:val="0"/>
          <w:szCs w:val="24"/>
          <w:lang w:val="zh-CN"/>
        </w:rPr>
      </w:pPr>
    </w:p>
    <w:p w14:paraId="17E28383">
      <w:pPr>
        <w:pStyle w:val="6"/>
        <w:rPr>
          <w:rFonts w:hint="eastAsia" w:cs="仿宋_GB2312"/>
          <w:i w:val="0"/>
          <w:iCs w:val="0"/>
          <w:snapToGrid w:val="0"/>
          <w:szCs w:val="24"/>
          <w:lang w:val="zh-CN"/>
        </w:rPr>
      </w:pPr>
    </w:p>
    <w:p w14:paraId="70E26EEE">
      <w:pPr>
        <w:pStyle w:val="6"/>
        <w:rPr>
          <w:rFonts w:hint="eastAsia" w:cs="仿宋_GB2312"/>
          <w:i w:val="0"/>
          <w:iCs w:val="0"/>
          <w:snapToGrid w:val="0"/>
          <w:szCs w:val="24"/>
          <w:lang w:val="zh-CN"/>
        </w:rPr>
      </w:pPr>
    </w:p>
    <w:p w14:paraId="67439E18">
      <w:pPr>
        <w:pStyle w:val="6"/>
        <w:rPr>
          <w:rFonts w:hint="eastAsia" w:cs="仿宋_GB2312"/>
          <w:i w:val="0"/>
          <w:iCs w:val="0"/>
          <w:snapToGrid w:val="0"/>
          <w:szCs w:val="24"/>
          <w:lang w:val="zh-CN"/>
        </w:rPr>
      </w:pPr>
    </w:p>
    <w:p w14:paraId="28F26FE3">
      <w:pPr>
        <w:pStyle w:val="6"/>
        <w:rPr>
          <w:rFonts w:hint="eastAsia" w:cs="仿宋_GB2312"/>
          <w:i w:val="0"/>
          <w:iCs w:val="0"/>
          <w:snapToGrid w:val="0"/>
          <w:szCs w:val="24"/>
          <w:lang w:val="zh-CN"/>
        </w:rPr>
      </w:pPr>
    </w:p>
    <w:p w14:paraId="514899DA">
      <w:pPr>
        <w:pStyle w:val="6"/>
        <w:rPr>
          <w:rFonts w:hint="eastAsia" w:cs="仿宋_GB2312"/>
          <w:i w:val="0"/>
          <w:iCs w:val="0"/>
          <w:snapToGrid w:val="0"/>
          <w:szCs w:val="24"/>
          <w:lang w:val="zh-CN"/>
        </w:rPr>
      </w:pPr>
    </w:p>
    <w:p w14:paraId="5EF11724">
      <w:pPr>
        <w:pStyle w:val="6"/>
        <w:rPr>
          <w:rFonts w:hint="eastAsia" w:cs="仿宋_GB2312"/>
          <w:i w:val="0"/>
          <w:iCs w:val="0"/>
          <w:snapToGrid w:val="0"/>
          <w:szCs w:val="24"/>
          <w:lang w:val="zh-CN"/>
        </w:rPr>
      </w:pPr>
    </w:p>
    <w:p w14:paraId="5F5FEEDE">
      <w:pPr>
        <w:pStyle w:val="6"/>
        <w:rPr>
          <w:rFonts w:hint="eastAsia" w:cs="仿宋_GB2312"/>
          <w:i w:val="0"/>
          <w:iCs w:val="0"/>
          <w:snapToGrid w:val="0"/>
          <w:szCs w:val="24"/>
          <w:lang w:val="zh-CN"/>
        </w:rPr>
      </w:pPr>
    </w:p>
    <w:p w14:paraId="4E04EB9B">
      <w:pPr>
        <w:pStyle w:val="6"/>
        <w:rPr>
          <w:rFonts w:hint="eastAsia" w:cs="仿宋_GB2312"/>
          <w:i w:val="0"/>
          <w:iCs w:val="0"/>
          <w:snapToGrid w:val="0"/>
          <w:szCs w:val="24"/>
          <w:lang w:val="zh-CN"/>
        </w:rPr>
      </w:pPr>
    </w:p>
    <w:p w14:paraId="64116645">
      <w:pPr>
        <w:pStyle w:val="6"/>
        <w:rPr>
          <w:rFonts w:hint="eastAsia" w:cs="仿宋_GB2312"/>
          <w:i w:val="0"/>
          <w:iCs w:val="0"/>
          <w:snapToGrid w:val="0"/>
          <w:szCs w:val="24"/>
          <w:lang w:val="zh-CN"/>
        </w:rPr>
      </w:pPr>
    </w:p>
    <w:p w14:paraId="02F1D941">
      <w:pPr>
        <w:pStyle w:val="6"/>
        <w:rPr>
          <w:rFonts w:hint="eastAsia" w:cs="仿宋_GB2312"/>
          <w:i w:val="0"/>
          <w:iCs w:val="0"/>
          <w:snapToGrid w:val="0"/>
          <w:szCs w:val="24"/>
          <w:lang w:val="zh-CN"/>
        </w:rPr>
      </w:pPr>
    </w:p>
    <w:p w14:paraId="2CD10CBD">
      <w:pPr>
        <w:pStyle w:val="6"/>
        <w:rPr>
          <w:rFonts w:hint="eastAsia" w:cs="仿宋_GB2312"/>
          <w:i w:val="0"/>
          <w:iCs w:val="0"/>
          <w:snapToGrid w:val="0"/>
          <w:szCs w:val="24"/>
          <w:lang w:val="zh-CN"/>
        </w:rPr>
      </w:pPr>
    </w:p>
    <w:p w14:paraId="35A8B6D6">
      <w:pPr>
        <w:pStyle w:val="6"/>
        <w:rPr>
          <w:rFonts w:hint="eastAsia" w:cs="仿宋_GB2312"/>
          <w:i w:val="0"/>
          <w:iCs w:val="0"/>
          <w:snapToGrid w:val="0"/>
          <w:szCs w:val="24"/>
          <w:lang w:val="zh-CN"/>
        </w:rPr>
      </w:pPr>
    </w:p>
    <w:p w14:paraId="7B7A0254">
      <w:pPr>
        <w:pStyle w:val="6"/>
        <w:rPr>
          <w:rFonts w:hint="eastAsia" w:cs="仿宋_GB2312"/>
          <w:i w:val="0"/>
          <w:iCs w:val="0"/>
          <w:snapToGrid w:val="0"/>
          <w:szCs w:val="24"/>
          <w:lang w:val="zh-CN"/>
        </w:rPr>
      </w:pPr>
    </w:p>
    <w:sectPr>
      <w:pgSz w:w="11910" w:h="16840"/>
      <w:pgMar w:top="1440" w:right="1800" w:bottom="1440" w:left="1800" w:header="0" w:footer="663"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EF1394C1-12E9-4F7B-A27C-F4DE069FB214}"/>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DA247657-3A06-4799-B8E6-C3F88A0A006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00000000"/>
    <w:rsid w:val="00764E30"/>
    <w:rsid w:val="013B3649"/>
    <w:rsid w:val="04B8713B"/>
    <w:rsid w:val="0866248B"/>
    <w:rsid w:val="09E83048"/>
    <w:rsid w:val="1B5C057E"/>
    <w:rsid w:val="1DB85AB2"/>
    <w:rsid w:val="21937A2C"/>
    <w:rsid w:val="219A525F"/>
    <w:rsid w:val="2A5B0357"/>
    <w:rsid w:val="3A4D2A17"/>
    <w:rsid w:val="3B5C26A3"/>
    <w:rsid w:val="3DCF679E"/>
    <w:rsid w:val="3DFD2368"/>
    <w:rsid w:val="450D4FA3"/>
    <w:rsid w:val="47C65ED5"/>
    <w:rsid w:val="48BA7138"/>
    <w:rsid w:val="4AF43DFE"/>
    <w:rsid w:val="4C0009C0"/>
    <w:rsid w:val="4E96111E"/>
    <w:rsid w:val="4F8C2241"/>
    <w:rsid w:val="5080549C"/>
    <w:rsid w:val="56C93DF1"/>
    <w:rsid w:val="5AAB6338"/>
    <w:rsid w:val="63D74F7B"/>
    <w:rsid w:val="66167B41"/>
    <w:rsid w:val="727F505F"/>
    <w:rsid w:val="7846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widowControl/>
      <w:ind w:firstLine="420"/>
    </w:pPr>
    <w:rPr>
      <w:rFonts w:eastAsia="仿宋_GB2312"/>
      <w:sz w:val="30"/>
      <w:szCs w:val="20"/>
    </w:rPr>
  </w:style>
  <w:style w:type="paragraph" w:styleId="6">
    <w:name w:val="Body Text"/>
    <w:basedOn w:val="1"/>
    <w:unhideWhenUsed/>
    <w:qFormat/>
    <w:uiPriority w:val="99"/>
    <w:pPr>
      <w:spacing w:after="120" w:line="240" w:lineRule="auto"/>
      <w:jc w:val="both"/>
    </w:pPr>
    <w:rPr>
      <w:rFonts w:ascii="Times New Roman" w:hAnsi="Times New Roman" w:cs="Times New Roman"/>
      <w:kern w:val="0"/>
      <w:sz w:val="20"/>
      <w:szCs w:val="20"/>
    </w:rPr>
  </w:style>
  <w:style w:type="paragraph" w:styleId="7">
    <w:name w:val="Plain Text"/>
    <w:basedOn w:val="1"/>
    <w:qFormat/>
    <w:uiPriority w:val="0"/>
    <w:rPr>
      <w:rFonts w:ascii="宋体"/>
      <w:szCs w:val="21"/>
    </w:rPr>
  </w:style>
  <w:style w:type="paragraph" w:styleId="10">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1">
    <w:name w:val="正文缩进2"/>
    <w:basedOn w:val="1"/>
    <w:autoRedefine/>
    <w:qFormat/>
    <w:uiPriority w:val="0"/>
    <w:pPr>
      <w:wordWrap w:val="0"/>
      <w:ind w:firstLine="200" w:firstLineChars="200"/>
    </w:pPr>
  </w:style>
  <w:style w:type="paragraph" w:customStyle="1" w:styleId="12">
    <w:name w:val="Table Paragraph"/>
    <w:basedOn w:val="1"/>
    <w:autoRedefine/>
    <w:qFormat/>
    <w:uiPriority w:val="1"/>
    <w:rPr>
      <w:rFonts w:ascii="宋体" w:hAnsi="宋体" w:eastAsia="宋体" w:cs="宋体"/>
      <w:lang w:val="zh-CN" w:eastAsia="zh-CN" w:bidi="zh-CN"/>
    </w:r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Heading 4"/>
    <w:basedOn w:val="1"/>
    <w:qFormat/>
    <w:uiPriority w:val="1"/>
    <w:pPr>
      <w:spacing w:before="43"/>
      <w:ind w:left="117"/>
      <w:jc w:val="center"/>
      <w:outlineLvl w:val="4"/>
    </w:pPr>
    <w:rPr>
      <w:rFonts w:ascii="仿宋" w:hAnsi="仿宋" w:eastAsia="仿宋" w:cs="仿宋"/>
      <w:b/>
      <w:bCs/>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3267</Words>
  <Characters>3311</Characters>
  <Lines>0</Lines>
  <Paragraphs>0</Paragraphs>
  <TotalTime>0</TotalTime>
  <ScaleCrop>false</ScaleCrop>
  <LinksUpToDate>false</LinksUpToDate>
  <CharactersWithSpaces>3311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2023-02-13T01:32:00Z</dcterms:created>
  <dc:creator>Administrator</dc:creator>
  <cp:lastModifiedBy>哈尔</cp:lastModifiedBy>
  <cp:lastPrinted>2025-07-03T08:47:00Z</cp:lastPrinted>
  <dcterms:modified xsi:type="dcterms:W3CDTF">2025-07-09T01:43:50Z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DD21B3EBD9234D4E94A338F46360705C_13</vt:lpwstr>
  </property>
  <property fmtid="{D5CDD505-2E9C-101B-9397-08002B2CF9AE}" pid="4" name="KSOTemplateDocerSaveRecord">
    <vt:lpwstr>eyJoZGlkIjoiNGE5ZDJjYzNmODVlMDE4YmQwN2NiMWU0NTJkZWQ0ZjMiLCJ1c2VySWQiOiI3NjMwODA5OTcifQ==</vt:lpwstr>
  </property>
</Properties>
</file>