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7B98">
      <w:pPr>
        <w:pStyle w:val="3"/>
        <w:numPr>
          <w:ilvl w:val="0"/>
          <w:numId w:val="0"/>
        </w:numPr>
        <w:ind w:leftChars="0"/>
        <w:jc w:val="center"/>
      </w:pPr>
      <w:bookmarkStart w:id="0" w:name="_Toc2392"/>
      <w:r>
        <w:rPr>
          <w:rFonts w:hint="eastAsia"/>
        </w:rPr>
        <w:t>项目采购需求</w:t>
      </w:r>
      <w:bookmarkEnd w:id="0"/>
    </w:p>
    <w:p w14:paraId="6A46EF91">
      <w:pPr>
        <w:pageBreakBefore w:val="0"/>
        <w:widowControl w:val="0"/>
        <w:kinsoku/>
        <w:overflowPunct/>
        <w:topLinePunct w:val="0"/>
        <w:autoSpaceDE/>
        <w:autoSpaceDN/>
        <w:bidi w:val="0"/>
        <w:adjustRightInd/>
        <w:snapToGrid/>
        <w:spacing w:line="360" w:lineRule="auto"/>
        <w:textAlignment w:val="auto"/>
        <w:rPr>
          <w:i w:val="0"/>
          <w:iCs w:val="0"/>
          <w:color w:val="FF0000"/>
        </w:rPr>
      </w:pPr>
      <w:r>
        <w:rPr>
          <w:rFonts w:hint="eastAsia"/>
          <w:i w:val="0"/>
          <w:iCs w:val="0"/>
          <w:color w:val="FF0000"/>
        </w:rPr>
        <w:t>【以下几项内容应根据项目情况作出具体采购需求描述，同时，制定各条款具体内容时与采购需求无关的将不得纳入】</w:t>
      </w:r>
    </w:p>
    <w:p w14:paraId="5D95D7F0">
      <w:pPr>
        <w:pageBreakBefore w:val="0"/>
        <w:widowControl w:val="0"/>
        <w:kinsoku/>
        <w:overflowPunct/>
        <w:topLinePunct w:val="0"/>
        <w:autoSpaceDE/>
        <w:autoSpaceDN/>
        <w:bidi w:val="0"/>
        <w:adjustRightInd/>
        <w:snapToGrid/>
        <w:spacing w:line="360" w:lineRule="auto"/>
        <w:ind w:left="0" w:firstLine="482" w:firstLineChars="200"/>
        <w:textAlignment w:val="auto"/>
        <w:rPr>
          <w:i w:val="0"/>
          <w:iCs w:val="0"/>
        </w:rPr>
      </w:pPr>
      <w:r>
        <w:rPr>
          <w:rFonts w:hint="eastAsia"/>
          <w:b/>
          <w:bCs/>
          <w:i w:val="0"/>
          <w:iCs w:val="0"/>
        </w:rPr>
        <w:t>说明</w:t>
      </w:r>
      <w:r>
        <w:rPr>
          <w:rFonts w:hint="eastAsia"/>
          <w:i w:val="0"/>
          <w:iCs w:val="0"/>
        </w:rPr>
        <w:t>：“★”号标注的内容为实质性要求，必须满足或优于该要求，否则按照</w:t>
      </w:r>
      <w:r>
        <w:rPr>
          <w:rFonts w:hint="eastAsia"/>
          <w:b/>
          <w:bCs/>
          <w:i w:val="0"/>
          <w:iCs w:val="0"/>
        </w:rPr>
        <w:t>无效响应处理</w:t>
      </w:r>
      <w:r>
        <w:rPr>
          <w:rFonts w:hint="eastAsia"/>
          <w:i w:val="0"/>
          <w:iCs w:val="0"/>
        </w:rPr>
        <w:t>。</w:t>
      </w:r>
    </w:p>
    <w:p w14:paraId="309548D9">
      <w:pPr>
        <w:pStyle w:val="4"/>
        <w:pageBreakBefore w:val="0"/>
        <w:widowControl w:val="0"/>
        <w:numPr>
          <w:ilvl w:val="0"/>
          <w:numId w:val="1"/>
        </w:numPr>
        <w:kinsoku/>
        <w:overflowPunct/>
        <w:topLinePunct w:val="0"/>
        <w:autoSpaceDE/>
        <w:autoSpaceDN/>
        <w:bidi w:val="0"/>
        <w:adjustRightInd/>
        <w:snapToGrid/>
        <w:spacing w:before="0" w:after="0" w:line="360" w:lineRule="auto"/>
        <w:ind w:left="0" w:firstLine="643" w:firstLineChars="200"/>
        <w:textAlignment w:val="auto"/>
        <w:rPr>
          <w:i w:val="0"/>
          <w:iCs w:val="0"/>
        </w:rPr>
      </w:pPr>
      <w:bookmarkStart w:id="1" w:name="_Toc28252"/>
      <w:bookmarkStart w:id="2" w:name="_Toc156490321"/>
      <w:r>
        <w:rPr>
          <w:rFonts w:hint="eastAsia"/>
          <w:i w:val="0"/>
          <w:iCs w:val="0"/>
        </w:rPr>
        <w:t>采购清单</w:t>
      </w:r>
      <w:bookmarkEnd w:id="1"/>
      <w:bookmarkEnd w:id="2"/>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97"/>
        <w:gridCol w:w="1104"/>
        <w:gridCol w:w="966"/>
        <w:gridCol w:w="1932"/>
        <w:gridCol w:w="1934"/>
      </w:tblGrid>
      <w:tr w14:paraId="6C19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14:paraId="070971D9">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bookmarkStart w:id="3" w:name="_Toc338065594"/>
            <w:bookmarkStart w:id="4" w:name="_Toc339378680"/>
            <w:r>
              <w:rPr>
                <w:rFonts w:hint="eastAsia"/>
                <w:b/>
                <w:bCs/>
                <w:i w:val="0"/>
                <w:iCs w:val="0"/>
              </w:rPr>
              <w:t>序号</w:t>
            </w:r>
          </w:p>
        </w:tc>
        <w:tc>
          <w:tcPr>
            <w:tcW w:w="1053" w:type="pct"/>
            <w:shd w:val="clear" w:color="auto" w:fill="auto"/>
            <w:vAlign w:val="center"/>
          </w:tcPr>
          <w:p w14:paraId="33564FAD">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采购标的名称</w:t>
            </w:r>
          </w:p>
        </w:tc>
        <w:tc>
          <w:tcPr>
            <w:tcW w:w="647" w:type="pct"/>
            <w:shd w:val="clear" w:color="auto" w:fill="auto"/>
            <w:vAlign w:val="center"/>
          </w:tcPr>
          <w:p w14:paraId="63FFA32D">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数量</w:t>
            </w:r>
          </w:p>
        </w:tc>
        <w:tc>
          <w:tcPr>
            <w:tcW w:w="566" w:type="pct"/>
            <w:shd w:val="clear" w:color="auto" w:fill="auto"/>
            <w:vAlign w:val="center"/>
          </w:tcPr>
          <w:p w14:paraId="45326D85">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单位</w:t>
            </w:r>
          </w:p>
        </w:tc>
        <w:tc>
          <w:tcPr>
            <w:tcW w:w="1132" w:type="pct"/>
            <w:vAlign w:val="center"/>
          </w:tcPr>
          <w:p w14:paraId="53559C8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所属行业</w:t>
            </w:r>
          </w:p>
        </w:tc>
        <w:tc>
          <w:tcPr>
            <w:tcW w:w="1133" w:type="pct"/>
            <w:shd w:val="clear" w:color="auto" w:fill="auto"/>
            <w:vAlign w:val="center"/>
          </w:tcPr>
          <w:p w14:paraId="139B1D3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要求/备注</w:t>
            </w:r>
          </w:p>
        </w:tc>
      </w:tr>
      <w:tr w14:paraId="30FB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457CB3BE">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宋体"/>
                <w:i w:val="0"/>
                <w:iCs w:val="0"/>
              </w:rPr>
            </w:pPr>
            <w:r>
              <w:rPr>
                <w:rFonts w:hint="eastAsia" w:cs="宋体"/>
                <w:i w:val="0"/>
                <w:iCs w:val="0"/>
              </w:rPr>
              <w:t>1</w:t>
            </w:r>
          </w:p>
        </w:tc>
        <w:tc>
          <w:tcPr>
            <w:tcW w:w="1053" w:type="pct"/>
            <w:vAlign w:val="center"/>
          </w:tcPr>
          <w:p w14:paraId="61A1940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hr-HR" w:eastAsia="zh-CN"/>
              </w:rPr>
              <w:t>红莲湖第二幼儿园红墅东方分园装饰装修工程</w:t>
            </w:r>
          </w:p>
        </w:tc>
        <w:tc>
          <w:tcPr>
            <w:tcW w:w="647" w:type="pct"/>
            <w:vAlign w:val="center"/>
          </w:tcPr>
          <w:p w14:paraId="1439CC43">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eastAsia="宋体" w:cs="仿宋_GB2312"/>
                <w:i w:val="0"/>
                <w:iCs w:val="0"/>
                <w:lang w:eastAsia="zh-CN"/>
              </w:rPr>
            </w:pPr>
            <w:r>
              <w:rPr>
                <w:rFonts w:hint="eastAsia" w:cs="仿宋_GB2312"/>
                <w:i w:val="0"/>
                <w:iCs w:val="0"/>
                <w:lang w:val="en-US" w:eastAsia="zh-CN"/>
              </w:rPr>
              <w:t>1</w:t>
            </w:r>
          </w:p>
        </w:tc>
        <w:tc>
          <w:tcPr>
            <w:tcW w:w="566" w:type="pct"/>
            <w:vAlign w:val="center"/>
          </w:tcPr>
          <w:p w14:paraId="44CD1419">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批</w:t>
            </w:r>
          </w:p>
        </w:tc>
        <w:tc>
          <w:tcPr>
            <w:tcW w:w="1132" w:type="pct"/>
            <w:vAlign w:val="center"/>
          </w:tcPr>
          <w:p w14:paraId="3008BD2F">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建筑业</w:t>
            </w:r>
          </w:p>
        </w:tc>
        <w:tc>
          <w:tcPr>
            <w:tcW w:w="1133" w:type="pct"/>
            <w:vAlign w:val="center"/>
          </w:tcPr>
          <w:p w14:paraId="50F7DD3A">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w:t>
            </w:r>
          </w:p>
        </w:tc>
      </w:tr>
      <w:bookmarkEnd w:id="3"/>
      <w:bookmarkEnd w:id="4"/>
    </w:tbl>
    <w:p w14:paraId="2B8428E7">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r>
        <w:rPr>
          <w:rFonts w:hint="eastAsia"/>
          <w:b/>
          <w:bCs/>
          <w:i w:val="0"/>
          <w:iCs w:val="0"/>
        </w:rPr>
        <w:t>要求/备注说明</w:t>
      </w:r>
    </w:p>
    <w:tbl>
      <w:tblPr>
        <w:tblStyle w:val="8"/>
        <w:tblW w:w="5000" w:type="pct"/>
        <w:jc w:val="center"/>
        <w:tblLayout w:type="autofit"/>
        <w:tblCellMar>
          <w:top w:w="0" w:type="dxa"/>
          <w:left w:w="108" w:type="dxa"/>
          <w:bottom w:w="0" w:type="dxa"/>
          <w:right w:w="108" w:type="dxa"/>
        </w:tblCellMar>
      </w:tblPr>
      <w:tblGrid>
        <w:gridCol w:w="1240"/>
        <w:gridCol w:w="7286"/>
      </w:tblGrid>
      <w:tr w14:paraId="3BAE6875">
        <w:tblPrEx>
          <w:tblCellMar>
            <w:top w:w="0" w:type="dxa"/>
            <w:left w:w="108" w:type="dxa"/>
            <w:bottom w:w="0" w:type="dxa"/>
            <w:right w:w="108" w:type="dxa"/>
          </w:tblCellMar>
        </w:tblPrEx>
        <w:trPr>
          <w:trHeight w:val="702"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0521B87B">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23747361">
            <w:pPr>
              <w:pStyle w:val="10"/>
              <w:pageBreakBefore w:val="0"/>
              <w:widowControl w:val="0"/>
              <w:kinsoku/>
              <w:overflowPunct/>
              <w:topLinePunct w:val="0"/>
              <w:autoSpaceDE/>
              <w:autoSpaceDN/>
              <w:bidi w:val="0"/>
              <w:adjustRightInd/>
              <w:snapToGrid/>
              <w:spacing w:line="360" w:lineRule="auto"/>
              <w:textAlignment w:val="auto"/>
              <w:rPr>
                <w:i w:val="0"/>
                <w:iCs w:val="0"/>
              </w:rPr>
            </w:pPr>
            <w:r>
              <w:rPr>
                <w:rFonts w:hint="eastAsia"/>
                <w:i w:val="0"/>
                <w:iCs w:val="0"/>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74284C5B">
        <w:tblPrEx>
          <w:tblCellMar>
            <w:top w:w="0" w:type="dxa"/>
            <w:left w:w="108" w:type="dxa"/>
            <w:bottom w:w="0" w:type="dxa"/>
            <w:right w:w="108" w:type="dxa"/>
          </w:tblCellMar>
        </w:tblPrEx>
        <w:trPr>
          <w:trHeight w:val="702"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4975EFED">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5CC76252">
            <w:pPr>
              <w:pStyle w:val="10"/>
              <w:pageBreakBefore w:val="0"/>
              <w:widowControl w:val="0"/>
              <w:kinsoku/>
              <w:overflowPunct/>
              <w:topLinePunct w:val="0"/>
              <w:autoSpaceDE/>
              <w:autoSpaceDN/>
              <w:bidi w:val="0"/>
              <w:adjustRightInd/>
              <w:snapToGrid/>
              <w:spacing w:line="360" w:lineRule="auto"/>
              <w:textAlignment w:val="auto"/>
              <w:rPr>
                <w:i w:val="0"/>
                <w:iCs w:val="0"/>
              </w:rPr>
            </w:pPr>
            <w:r>
              <w:rPr>
                <w:rFonts w:hint="eastAsia"/>
                <w:i w:val="0"/>
                <w:iCs w:val="0"/>
              </w:rPr>
              <w:t>采购清单要求/备注栏中注明“节能产品”的标的，为强制采购节能产品。依据财库〔</w:t>
            </w:r>
            <w:r>
              <w:rPr>
                <w:i w:val="0"/>
                <w:iCs w:val="0"/>
              </w:rPr>
              <w:t>2019〕</w:t>
            </w:r>
            <w:r>
              <w:rPr>
                <w:rFonts w:hint="eastAsia"/>
                <w:i w:val="0"/>
                <w:iCs w:val="0"/>
              </w:rPr>
              <w:t>9号文的规定，应提供国家确定的认证机构出具的节能产品认证证书。</w:t>
            </w:r>
          </w:p>
        </w:tc>
      </w:tr>
      <w:tr w14:paraId="435F3B6E">
        <w:tblPrEx>
          <w:tblCellMar>
            <w:top w:w="0" w:type="dxa"/>
            <w:left w:w="108" w:type="dxa"/>
            <w:bottom w:w="0" w:type="dxa"/>
            <w:right w:w="108" w:type="dxa"/>
          </w:tblCellMar>
        </w:tblPrEx>
        <w:trPr>
          <w:trHeight w:val="548"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3DF4291D">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153348C8">
            <w:pPr>
              <w:pStyle w:val="10"/>
              <w:pageBreakBefore w:val="0"/>
              <w:widowControl w:val="0"/>
              <w:kinsoku/>
              <w:overflowPunct/>
              <w:topLinePunct w:val="0"/>
              <w:autoSpaceDE/>
              <w:autoSpaceDN/>
              <w:bidi w:val="0"/>
              <w:adjustRightInd/>
              <w:snapToGrid/>
              <w:spacing w:line="360" w:lineRule="auto"/>
              <w:textAlignment w:val="auto"/>
              <w:rPr>
                <w:i w:val="0"/>
                <w:iCs w:val="0"/>
                <w:sz w:val="20"/>
                <w:szCs w:val="20"/>
              </w:rPr>
            </w:pPr>
            <w:r>
              <w:rPr>
                <w:rFonts w:hint="eastAsia"/>
                <w:i w:val="0"/>
                <w:iCs w:val="0"/>
                <w:sz w:val="20"/>
                <w:szCs w:val="20"/>
              </w:rPr>
              <w:t>采购清单要求/备注栏中注明“适宜中小企业提供”的标的，应当按照竞争性磋商文件要求全部或部分由联合体提供或进行合同分包。</w:t>
            </w:r>
          </w:p>
        </w:tc>
      </w:tr>
      <w:tr w14:paraId="41624FD6">
        <w:tblPrEx>
          <w:tblCellMar>
            <w:top w:w="0" w:type="dxa"/>
            <w:left w:w="108" w:type="dxa"/>
            <w:bottom w:w="0" w:type="dxa"/>
            <w:right w:w="108" w:type="dxa"/>
          </w:tblCellMar>
        </w:tblPrEx>
        <w:trPr>
          <w:trHeight w:val="548"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4BAA6FFA">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717B028C">
            <w:pPr>
              <w:pStyle w:val="10"/>
              <w:pageBreakBefore w:val="0"/>
              <w:widowControl w:val="0"/>
              <w:kinsoku/>
              <w:overflowPunct/>
              <w:topLinePunct w:val="0"/>
              <w:autoSpaceDE/>
              <w:autoSpaceDN/>
              <w:bidi w:val="0"/>
              <w:adjustRightInd/>
              <w:snapToGrid/>
              <w:spacing w:line="360" w:lineRule="auto"/>
              <w:textAlignment w:val="auto"/>
              <w:rPr>
                <w:i w:val="0"/>
                <w:iCs w:val="0"/>
                <w:sz w:val="20"/>
                <w:szCs w:val="20"/>
              </w:rPr>
            </w:pPr>
            <w:r>
              <w:rPr>
                <w:rFonts w:hint="eastAsia"/>
                <w:i w:val="0"/>
                <w:iCs w:val="0"/>
                <w:sz w:val="20"/>
                <w:szCs w:val="20"/>
              </w:rPr>
              <w:t>采购清单要求/备注栏中未注明“允许分包”的标的，不得合同分包。</w:t>
            </w:r>
          </w:p>
        </w:tc>
      </w:tr>
    </w:tbl>
    <w:p w14:paraId="5B096649">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p>
    <w:p w14:paraId="6F09ACD4">
      <w:pPr>
        <w:pStyle w:val="6"/>
      </w:pPr>
    </w:p>
    <w:p w14:paraId="7B689E69">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p>
    <w:p w14:paraId="32D90381">
      <w:pPr>
        <w:pStyle w:val="11"/>
        <w:pageBreakBefore w:val="0"/>
        <w:widowControl w:val="0"/>
        <w:kinsoku/>
        <w:overflowPunct/>
        <w:topLinePunct w:val="0"/>
        <w:autoSpaceDE/>
        <w:autoSpaceDN/>
        <w:bidi w:val="0"/>
        <w:adjustRightInd/>
        <w:snapToGrid/>
        <w:spacing w:line="360" w:lineRule="auto"/>
        <w:ind w:left="0" w:leftChars="0" w:firstLine="0" w:firstLineChars="0"/>
        <w:textAlignment w:val="auto"/>
        <w:rPr>
          <w:i w:val="0"/>
          <w:iCs w:val="0"/>
        </w:rPr>
      </w:pPr>
      <w:bookmarkStart w:id="5" w:name="_Toc156490322"/>
    </w:p>
    <w:p w14:paraId="07E16A76">
      <w:pPr>
        <w:pStyle w:val="4"/>
        <w:pageBreakBefore w:val="0"/>
        <w:widowControl w:val="0"/>
        <w:numPr>
          <w:ilvl w:val="0"/>
          <w:numId w:val="0"/>
        </w:numPr>
        <w:kinsoku/>
        <w:overflowPunct/>
        <w:topLinePunct w:val="0"/>
        <w:autoSpaceDE/>
        <w:autoSpaceDN/>
        <w:bidi w:val="0"/>
        <w:adjustRightInd/>
        <w:snapToGrid/>
        <w:spacing w:before="0" w:after="0" w:line="360" w:lineRule="auto"/>
        <w:jc w:val="center"/>
        <w:textAlignment w:val="auto"/>
        <w:rPr>
          <w:rFonts w:hint="eastAsia" w:eastAsia="宋体"/>
          <w:i w:val="0"/>
          <w:iCs w:val="0"/>
          <w:lang w:val="en-US" w:eastAsia="zh-CN"/>
        </w:rPr>
      </w:pPr>
      <w:bookmarkStart w:id="6" w:name="_Toc10836"/>
      <w:r>
        <w:rPr>
          <w:rFonts w:hint="eastAsia"/>
          <w:i w:val="0"/>
          <w:iCs w:val="0"/>
          <w:lang w:val="en-US" w:eastAsia="zh-CN"/>
        </w:rPr>
        <w:t>采购需求书</w:t>
      </w:r>
    </w:p>
    <w:p w14:paraId="5B66C051">
      <w:pPr>
        <w:pStyle w:val="4"/>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cs="仿宋_GB2312"/>
          <w:b w:val="0"/>
          <w:bCs w:val="0"/>
          <w:i w:val="0"/>
          <w:iCs w:val="0"/>
          <w:snapToGrid w:val="0"/>
          <w:kern w:val="2"/>
          <w:sz w:val="24"/>
          <w:szCs w:val="24"/>
          <w:lang w:val="en-US" w:eastAsia="zh-CN" w:bidi="ar-SA"/>
        </w:rPr>
      </w:pPr>
      <w:r>
        <w:rPr>
          <w:rFonts w:hint="eastAsia" w:ascii="宋体" w:hAnsi="宋体" w:cs="仿宋_GB2312"/>
          <w:b w:val="0"/>
          <w:bCs w:val="0"/>
          <w:i w:val="0"/>
          <w:iCs w:val="0"/>
          <w:snapToGrid w:val="0"/>
          <w:kern w:val="2"/>
          <w:sz w:val="24"/>
          <w:szCs w:val="24"/>
          <w:lang w:val="en-US" w:eastAsia="zh-CN" w:bidi="ar-SA"/>
        </w:rPr>
        <w:t>一、项目概况</w:t>
      </w:r>
    </w:p>
    <w:p w14:paraId="756A15B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仿宋_GB2312"/>
          <w:i w:val="0"/>
          <w:iCs w:val="0"/>
          <w:snapToGrid w:val="0"/>
          <w:szCs w:val="24"/>
          <w:lang w:val="en-US" w:eastAsia="zh-CN"/>
        </w:rPr>
      </w:pPr>
      <w:r>
        <w:rPr>
          <w:rFonts w:hint="eastAsia" w:cs="仿宋_GB2312"/>
          <w:i w:val="0"/>
          <w:iCs w:val="0"/>
          <w:snapToGrid w:val="0"/>
          <w:szCs w:val="24"/>
          <w:lang w:val="en-US" w:eastAsia="zh-CN"/>
        </w:rPr>
        <w:t>（一）项目名称、施工内容及施工地点</w:t>
      </w:r>
    </w:p>
    <w:p w14:paraId="32461D2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1.项目名称：</w:t>
      </w:r>
      <w:r>
        <w:rPr>
          <w:rFonts w:hint="eastAsia" w:cs="仿宋_GB2312"/>
          <w:i w:val="0"/>
          <w:iCs w:val="0"/>
          <w:snapToGrid w:val="0"/>
          <w:szCs w:val="24"/>
          <w:lang w:val="en-US" w:eastAsia="zh-CN"/>
        </w:rPr>
        <w:t>红莲湖第二幼儿园红墅东方分园装饰装修工程</w:t>
      </w:r>
    </w:p>
    <w:p w14:paraId="3051F6D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2.建设地点：</w:t>
      </w:r>
      <w:r>
        <w:rPr>
          <w:rFonts w:hint="eastAsia" w:cs="仿宋_GB2312"/>
          <w:i w:val="0"/>
          <w:iCs w:val="0"/>
          <w:snapToGrid w:val="0"/>
          <w:szCs w:val="24"/>
          <w:lang w:val="en-US" w:eastAsia="zh-CN"/>
        </w:rPr>
        <w:t>红莲湖第二幼儿园红墅东方分园</w:t>
      </w:r>
    </w:p>
    <w:p w14:paraId="727C434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3.预算金额：161</w:t>
      </w:r>
      <w:r>
        <w:rPr>
          <w:rFonts w:hint="eastAsia" w:cs="仿宋_GB2312"/>
          <w:i w:val="0"/>
          <w:iCs w:val="0"/>
          <w:snapToGrid w:val="0"/>
          <w:szCs w:val="24"/>
          <w:lang w:val="en-US" w:eastAsia="zh-CN"/>
        </w:rPr>
        <w:t>.</w:t>
      </w:r>
      <w:r>
        <w:rPr>
          <w:rFonts w:hint="default" w:cs="仿宋_GB2312"/>
          <w:i w:val="0"/>
          <w:iCs w:val="0"/>
          <w:snapToGrid w:val="0"/>
          <w:szCs w:val="24"/>
          <w:lang w:val="en-US" w:eastAsia="zh-CN"/>
        </w:rPr>
        <w:t>454356万元</w:t>
      </w:r>
    </w:p>
    <w:p w14:paraId="62A1A3D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4.招标控制价：161</w:t>
      </w:r>
      <w:r>
        <w:rPr>
          <w:rFonts w:hint="eastAsia" w:cs="仿宋_GB2312"/>
          <w:i w:val="0"/>
          <w:iCs w:val="0"/>
          <w:snapToGrid w:val="0"/>
          <w:szCs w:val="24"/>
          <w:lang w:val="en-US" w:eastAsia="zh-CN"/>
        </w:rPr>
        <w:t>.</w:t>
      </w:r>
      <w:r>
        <w:rPr>
          <w:rFonts w:hint="default" w:cs="仿宋_GB2312"/>
          <w:i w:val="0"/>
          <w:iCs w:val="0"/>
          <w:snapToGrid w:val="0"/>
          <w:szCs w:val="24"/>
          <w:lang w:val="en-US" w:eastAsia="zh-CN"/>
        </w:rPr>
        <w:t>454356万元</w:t>
      </w:r>
    </w:p>
    <w:p w14:paraId="602652D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color w:val="auto"/>
          <w:szCs w:val="24"/>
          <w:lang w:val="en-US" w:eastAsia="zh-CN"/>
        </w:rPr>
      </w:pPr>
      <w:r>
        <w:rPr>
          <w:rFonts w:hint="default" w:cs="仿宋_GB2312"/>
          <w:i w:val="0"/>
          <w:iCs w:val="0"/>
          <w:snapToGrid w:val="0"/>
          <w:szCs w:val="24"/>
          <w:lang w:val="en-US" w:eastAsia="zh-CN"/>
        </w:rPr>
        <w:t>5.合同履约工期：合同签订后</w:t>
      </w:r>
      <w:r>
        <w:rPr>
          <w:rFonts w:hint="eastAsia" w:cs="仿宋_GB2312"/>
          <w:i w:val="0"/>
          <w:iCs w:val="0"/>
          <w:snapToGrid w:val="0"/>
          <w:szCs w:val="24"/>
          <w:lang w:val="en-US" w:eastAsia="zh-CN"/>
        </w:rPr>
        <w:t>5</w:t>
      </w:r>
      <w:r>
        <w:rPr>
          <w:rFonts w:hint="default" w:cs="仿宋_GB2312"/>
          <w:i w:val="0"/>
          <w:iCs w:val="0"/>
          <w:snapToGrid w:val="0"/>
          <w:szCs w:val="24"/>
          <w:lang w:val="en-US" w:eastAsia="zh-CN"/>
        </w:rPr>
        <w:t>0日历日内完成</w:t>
      </w:r>
    </w:p>
    <w:p w14:paraId="3137FBB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6、施工内容：具体内容详见“施工图、工程量清单”。</w:t>
      </w:r>
    </w:p>
    <w:p w14:paraId="201D1D7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color w:val="auto"/>
          <w:szCs w:val="24"/>
          <w:highlight w:val="none"/>
          <w:shd w:val="clear" w:color="auto" w:fill="auto"/>
          <w:lang w:val="en-US" w:eastAsia="zh-CN"/>
        </w:rPr>
      </w:pPr>
      <w:r>
        <w:rPr>
          <w:rFonts w:hint="default" w:cs="仿宋_GB2312"/>
          <w:i w:val="0"/>
          <w:iCs w:val="0"/>
          <w:snapToGrid w:val="0"/>
          <w:szCs w:val="24"/>
          <w:lang w:val="en-US" w:eastAsia="zh-CN"/>
        </w:rPr>
        <w:t>7、特定资格要</w:t>
      </w:r>
      <w:r>
        <w:rPr>
          <w:rFonts w:hint="default" w:cs="仿宋_GB2312"/>
          <w:i w:val="0"/>
          <w:iCs w:val="0"/>
          <w:snapToGrid w:val="0"/>
          <w:szCs w:val="24"/>
          <w:highlight w:val="none"/>
          <w:lang w:val="en-US" w:eastAsia="zh-CN"/>
        </w:rPr>
        <w:t>求</w:t>
      </w:r>
      <w:r>
        <w:rPr>
          <w:rFonts w:hint="default" w:cs="仿宋_GB2312"/>
          <w:i w:val="0"/>
          <w:iCs w:val="0"/>
          <w:snapToGrid w:val="0"/>
          <w:szCs w:val="24"/>
          <w:highlight w:val="none"/>
          <w:shd w:val="clear" w:color="auto" w:fill="auto"/>
          <w:lang w:val="en-US" w:eastAsia="zh-CN"/>
        </w:rPr>
        <w:t>：</w:t>
      </w:r>
      <w:r>
        <w:rPr>
          <w:rFonts w:hint="default" w:cs="仿宋_GB2312"/>
          <w:i w:val="0"/>
          <w:iCs w:val="0"/>
          <w:snapToGrid w:val="0"/>
          <w:color w:val="auto"/>
          <w:szCs w:val="24"/>
          <w:highlight w:val="none"/>
          <w:shd w:val="clear" w:color="auto" w:fill="auto"/>
          <w:lang w:val="en-US" w:eastAsia="zh-CN"/>
        </w:rPr>
        <w:t>（1）投标人具备住房城乡建设主管部门颁发的有效的建筑工程施工总承包三级及以上资质</w:t>
      </w:r>
      <w:r>
        <w:rPr>
          <w:rFonts w:hint="eastAsia" w:cs="仿宋_GB2312"/>
          <w:i w:val="0"/>
          <w:iCs w:val="0"/>
          <w:snapToGrid w:val="0"/>
          <w:color w:val="auto"/>
          <w:szCs w:val="24"/>
          <w:highlight w:val="none"/>
          <w:shd w:val="clear" w:color="auto" w:fill="auto"/>
          <w:lang w:val="en-US" w:eastAsia="zh-CN"/>
        </w:rPr>
        <w:t>，</w:t>
      </w:r>
      <w:r>
        <w:rPr>
          <w:rFonts w:hint="default" w:cs="仿宋_GB2312"/>
          <w:i w:val="0"/>
          <w:iCs w:val="0"/>
          <w:snapToGrid w:val="0"/>
          <w:color w:val="auto"/>
          <w:szCs w:val="24"/>
          <w:highlight w:val="none"/>
          <w:shd w:val="clear" w:color="auto" w:fill="auto"/>
          <w:lang w:val="en-US" w:eastAsia="zh-CN"/>
        </w:rPr>
        <w:t>具有有效的安全生产许可证；</w:t>
      </w:r>
    </w:p>
    <w:p w14:paraId="4362056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highlight w:val="none"/>
          <w:lang w:val="en-US" w:eastAsia="zh-CN"/>
        </w:rPr>
        <w:t>（</w:t>
      </w:r>
      <w:r>
        <w:rPr>
          <w:rFonts w:hint="default" w:cs="仿宋_GB2312"/>
          <w:i w:val="0"/>
          <w:iCs w:val="0"/>
          <w:snapToGrid w:val="0"/>
          <w:szCs w:val="24"/>
          <w:lang w:val="en-US" w:eastAsia="zh-CN"/>
        </w:rPr>
        <w:t>2）供应商拟派项目经理须具备建筑工程专业贰级及以上注册建造师执业资格证，有效的安全生产考核合格证书（B证），且为供应商的在职员工，项目经理须提供无在建项目的承诺书。</w:t>
      </w:r>
    </w:p>
    <w:p w14:paraId="22B2B8D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（二）承包方式及说明：</w:t>
      </w:r>
    </w:p>
    <w:p w14:paraId="003BE88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1、响应投标人根据采购人提供工程量清单、相关资料及编制依据总说明，按工程量清单报价，采用固定单价方式承包。</w:t>
      </w:r>
    </w:p>
    <w:p w14:paraId="501F583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响应投标人应依据施工图纸（如有）及招标文件认真核对工程量清单。如响应投标人认为工程量清单有漏缺项或存在较大的错误，响应投标人应在招标答疑期间提出，经招标人核对后修正，同时将修改后的工程量清单发给所有响应投标人。</w:t>
      </w:r>
    </w:p>
    <w:p w14:paraId="7427CF7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响应投标人应当充分了解工程施工现场和周围环境，以获得由响应投标人自己负责的有关编制投标文件和签署合同的所有信息，一旦中标这种考察即被认为其结果已在投标文件中的充分反映；若因本项目实施中可能出现其它未知因素和招标文件无法体现的内容而产生费用，该费用由投标方承担。</w:t>
      </w:r>
    </w:p>
    <w:p w14:paraId="45478D4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4、招标人向响应投标人提供的有关现场的数据和资料，是招标人现有的能被响应投标人利用的资料，招标人对响应投标人做出的任何推论、理解和结论均不负责任。</w:t>
      </w:r>
    </w:p>
    <w:p w14:paraId="5897F969">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5、本工程的投标报价办法：用工程量清单计价办法。工程量清单项目设置及计算规则按《湖北省建设工程工程量清单计价规定》执行，投标报价依据施工设计图纸，施工现场情况，施工方案，并依照工程量清单、清单规范、定额，工程造价主管部门的有关规定及发布的人工、材料、机械参考价，并自行考虑风险等情况进行编制。本招标工程计价参考资料：按省（市）相关造价文件规定执行。</w:t>
      </w:r>
    </w:p>
    <w:p w14:paraId="25B3E42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二、商务要求</w:t>
      </w:r>
    </w:p>
    <w:p w14:paraId="0A84C44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（一）报价要求</w:t>
      </w:r>
    </w:p>
    <w:p w14:paraId="2B590EE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1.响应投标人应按招标人提供的工程量清单项目及工程量进行报价，且投标报价的编制须符合最新版《建设工程工程量清单计价规范》相关规定。</w:t>
      </w:r>
    </w:p>
    <w:p w14:paraId="66DD742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2.响应投标人应结合建筑市场、自身施工能力、经营状况，充分考虑市场竞争和施工过程中承担风险的能力等。报价投标人应按企业的实际情况自行报价，但不得低于本企业成本价。</w:t>
      </w:r>
    </w:p>
    <w:p w14:paraId="195A10C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（二）类似业绩</w:t>
      </w:r>
    </w:p>
    <w:p w14:paraId="188EAC8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投标人需具备20</w:t>
      </w:r>
      <w:r>
        <w:rPr>
          <w:rFonts w:hint="eastAsia" w:cs="仿宋_GB2312"/>
          <w:i w:val="0"/>
          <w:iCs w:val="0"/>
          <w:snapToGrid w:val="0"/>
          <w:szCs w:val="24"/>
          <w:lang w:val="en-US" w:eastAsia="zh-CN"/>
        </w:rPr>
        <w:t>22</w:t>
      </w:r>
      <w:r>
        <w:rPr>
          <w:rFonts w:hint="default" w:cs="仿宋_GB2312"/>
          <w:i w:val="0"/>
          <w:iCs w:val="0"/>
          <w:snapToGrid w:val="0"/>
          <w:szCs w:val="24"/>
          <w:lang w:val="en-US" w:eastAsia="zh-CN"/>
        </w:rPr>
        <w:t>年</w:t>
      </w:r>
      <w:r>
        <w:rPr>
          <w:rFonts w:hint="eastAsia" w:cs="仿宋_GB2312"/>
          <w:i w:val="0"/>
          <w:iCs w:val="0"/>
          <w:snapToGrid w:val="0"/>
          <w:szCs w:val="24"/>
          <w:lang w:val="en-US" w:eastAsia="zh-CN"/>
        </w:rPr>
        <w:t>6</w:t>
      </w:r>
      <w:r>
        <w:rPr>
          <w:rFonts w:hint="default" w:cs="仿宋_GB2312"/>
          <w:i w:val="0"/>
          <w:iCs w:val="0"/>
          <w:snapToGrid w:val="0"/>
          <w:szCs w:val="24"/>
          <w:lang w:val="en-US" w:eastAsia="zh-CN"/>
        </w:rPr>
        <w:t>月至今的类似项目业绩。</w:t>
      </w:r>
    </w:p>
    <w:p w14:paraId="2301E8A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（三）项目团队</w:t>
      </w:r>
    </w:p>
    <w:p w14:paraId="48FB4AE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拟派项目其他成员需具有相关岗位证书。</w:t>
      </w:r>
    </w:p>
    <w:p w14:paraId="2431C5E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三、技术要求</w:t>
      </w:r>
    </w:p>
    <w:p w14:paraId="70D2BC5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（一）工期要求</w:t>
      </w:r>
    </w:p>
    <w:p w14:paraId="47A7A9C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1.中标通知书发出后</w:t>
      </w:r>
      <w:r>
        <w:rPr>
          <w:rFonts w:hint="eastAsia" w:cs="仿宋_GB2312"/>
          <w:i w:val="0"/>
          <w:iCs w:val="0"/>
          <w:snapToGrid w:val="0"/>
          <w:szCs w:val="24"/>
          <w:lang w:val="en-US" w:eastAsia="zh-CN"/>
        </w:rPr>
        <w:t>1</w:t>
      </w:r>
      <w:r>
        <w:rPr>
          <w:rFonts w:hint="default" w:cs="仿宋_GB2312"/>
          <w:i w:val="0"/>
          <w:iCs w:val="0"/>
          <w:snapToGrid w:val="0"/>
          <w:szCs w:val="24"/>
          <w:lang w:val="en-US" w:eastAsia="zh-CN"/>
        </w:rPr>
        <w:t>5天内签订合同，合同签订后</w:t>
      </w:r>
      <w:r>
        <w:rPr>
          <w:rFonts w:hint="eastAsia" w:cs="仿宋_GB2312"/>
          <w:i w:val="0"/>
          <w:iCs w:val="0"/>
          <w:snapToGrid w:val="0"/>
          <w:szCs w:val="24"/>
          <w:lang w:val="en-US" w:eastAsia="zh-CN"/>
        </w:rPr>
        <w:t>5</w:t>
      </w:r>
      <w:r>
        <w:rPr>
          <w:rFonts w:hint="default" w:cs="仿宋_GB2312"/>
          <w:i w:val="0"/>
          <w:iCs w:val="0"/>
          <w:snapToGrid w:val="0"/>
          <w:szCs w:val="24"/>
          <w:lang w:val="en-US" w:eastAsia="zh-CN"/>
        </w:rPr>
        <w:t>0日历天内完成。</w:t>
      </w:r>
    </w:p>
    <w:p w14:paraId="6CEF887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2.因中标人的原因造成工期延误的，中标人应当按日向招标人支付违约金，违约金金额最高不超过成交价的10%。延误超过30日历天的，甲方有权解除合同。由于招标人原因导致的工期延误，工期顺延。</w:t>
      </w:r>
    </w:p>
    <w:p w14:paraId="27F3ABD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（二）质量要求</w:t>
      </w:r>
    </w:p>
    <w:p w14:paraId="28B3272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1、中标人必须严格按照招标人要求施工，确保一次性验收合格；达到国家及行业现行相关规范合格标准。</w:t>
      </w:r>
    </w:p>
    <w:p w14:paraId="7E88909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2、为确保项目实施过程中严格按照设计标准实施，项目负责人必须每天到施工现场监督管理，并且每天上、下午按时到招标人项目管理科室签到。</w:t>
      </w:r>
    </w:p>
    <w:p w14:paraId="4DAB2E0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中标人在施工中如果工程质量不符合设计要求和有关规定，招标人要求停工和返工时，中标人须立即执行，并承担由此产生的各种费用，工期不予顺延。否则，停止支付工程费，招标人保留追究中标人相应的法律责任的权利。</w:t>
      </w:r>
    </w:p>
    <w:p w14:paraId="25F9D03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（三）安全文明施工要求</w:t>
      </w:r>
    </w:p>
    <w:p w14:paraId="67633C4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1、中标人的施工服务队伍资质要得到行业主管部门认可，施工前向用户递交派出人员名单，严禁使用未成年工和不适应现场安全施工要求的老弱病残人员进行施工。</w:t>
      </w:r>
    </w:p>
    <w:p w14:paraId="00A2DA5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2、在施工期间应严格遵守国家、省、市有关防火、爆破和施工安全以及文明施工、环卫和城管等规定，建立规章制度和防护措施。否则，由此造成的经济和法律责任均由中标人负责。</w:t>
      </w:r>
    </w:p>
    <w:p w14:paraId="6D2EB46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中标人应按安全施工的要求，采取严格科学的安全措施，做好从进场施工开始到验收结束交付工程前的安全施工预防措施，并制定相应的应急预案，确保施工安全和第三者的安全，中标人完全承担出于自身安全措施不力所造成的事故责任和发生的费用。</w:t>
      </w:r>
    </w:p>
    <w:p w14:paraId="1A32276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4、中标人的施工队伍必须接受现场管理单位的监督、管理和指导。</w:t>
      </w:r>
    </w:p>
    <w:p w14:paraId="612F37A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5、中标人应在招标人确定施工条件已具备后，3天内与招标人确定开始施工日期。</w:t>
      </w:r>
    </w:p>
    <w:p w14:paraId="2124FC1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6、中标人进场所要的现场工作条件及施工中，需要招标人配合承担的工程由中标人在投标时提出,签署合同时也作为合同的补充附件。</w:t>
      </w:r>
    </w:p>
    <w:p w14:paraId="28CAD569">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s="仿宋_GB2312"/>
          <w:i w:val="0"/>
          <w:iCs w:val="0"/>
          <w:snapToGrid w:val="0"/>
          <w:szCs w:val="24"/>
          <w:lang w:val="en-US" w:eastAsia="zh-CN"/>
        </w:rPr>
      </w:pPr>
      <w:r>
        <w:rPr>
          <w:rFonts w:hint="default" w:cs="仿宋_GB2312"/>
          <w:b/>
          <w:bCs/>
          <w:i w:val="0"/>
          <w:iCs w:val="0"/>
          <w:snapToGrid w:val="0"/>
          <w:szCs w:val="24"/>
          <w:lang w:val="en-US" w:eastAsia="zh-CN"/>
        </w:rPr>
        <w:t>（四）承包方式</w:t>
      </w:r>
    </w:p>
    <w:p w14:paraId="39EF0E8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☑固定单价合同方式：</w:t>
      </w:r>
    </w:p>
    <w:p w14:paraId="38104A7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投标报价文件包含投标总价及综合单价时，综合单价为合同单价。工程量清单项目的综合单价在约定条件及范围内是固定的，工程量按实结算，工程量清单项目综合单价在约定的条件及范围外，允许调整，调整的金额不得超过合同金额的百分之十”。</w:t>
      </w:r>
    </w:p>
    <w:p w14:paraId="4660AD3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bookmarkStart w:id="7" w:name="_GoBack"/>
      <w:bookmarkEnd w:id="7"/>
      <w:r>
        <w:rPr>
          <w:rFonts w:hint="eastAsia" w:cs="仿宋_GB2312"/>
          <w:i w:val="0"/>
          <w:iCs w:val="0"/>
          <w:snapToGrid w:val="0"/>
          <w:szCs w:val="24"/>
          <w:lang w:val="en-US" w:eastAsia="zh-CN"/>
        </w:rPr>
        <w:t>□</w:t>
      </w:r>
      <w:r>
        <w:rPr>
          <w:rFonts w:hint="default" w:cs="仿宋_GB2312"/>
          <w:i w:val="0"/>
          <w:iCs w:val="0"/>
          <w:snapToGrid w:val="0"/>
          <w:szCs w:val="24"/>
          <w:lang w:val="en-US" w:eastAsia="zh-CN"/>
        </w:rPr>
        <w:t>固定总价合同方式：</w:t>
      </w:r>
    </w:p>
    <w:p w14:paraId="71D0C86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投标报价文件包含投标总价及综合单价时，投标总价为合同总价。合同总价在招标文件及施工合同约定的风险范围之内(图纸、招标文件以及技术资料的固定)不可调整,当施工过程中发生设计变更，按照规定予以增减造价的。</w:t>
      </w:r>
    </w:p>
    <w:p w14:paraId="057F307A">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s="仿宋_GB2312"/>
          <w:i w:val="0"/>
          <w:iCs w:val="0"/>
          <w:snapToGrid w:val="0"/>
          <w:szCs w:val="24"/>
          <w:lang w:val="en-US" w:eastAsia="zh-CN"/>
        </w:rPr>
      </w:pPr>
      <w:r>
        <w:rPr>
          <w:rFonts w:hint="default" w:cs="仿宋_GB2312"/>
          <w:b/>
          <w:bCs/>
          <w:i w:val="0"/>
          <w:iCs w:val="0"/>
          <w:snapToGrid w:val="0"/>
          <w:szCs w:val="24"/>
          <w:lang w:val="en-US" w:eastAsia="zh-CN"/>
        </w:rPr>
        <w:t>（五）质保期要求</w:t>
      </w:r>
    </w:p>
    <w:p w14:paraId="30E4EB6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1、本工程的成活养护期期按国家相关规定执行，自全部工程竣工双方签字验收合格之日起算。</w:t>
      </w:r>
    </w:p>
    <w:p w14:paraId="60BB2F8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2、在工程保修期内，中标人应当根据有关法律以及合同规定，在约定的保修范围、保修期限内承担保修责任。保修的费用由造成质量缺陷的责任方承担。</w:t>
      </w:r>
    </w:p>
    <w:p w14:paraId="357AFEFB">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s="仿宋_GB2312"/>
          <w:i w:val="0"/>
          <w:iCs w:val="0"/>
          <w:snapToGrid w:val="0"/>
          <w:szCs w:val="24"/>
          <w:lang w:val="en-US" w:eastAsia="zh-CN"/>
        </w:rPr>
      </w:pPr>
      <w:r>
        <w:rPr>
          <w:rFonts w:hint="default" w:cs="仿宋_GB2312"/>
          <w:b/>
          <w:bCs/>
          <w:i w:val="0"/>
          <w:iCs w:val="0"/>
          <w:snapToGrid w:val="0"/>
          <w:szCs w:val="24"/>
          <w:lang w:val="en-US" w:eastAsia="zh-CN"/>
        </w:rPr>
        <w:t>（六）工程量增减调整方法规定</w:t>
      </w:r>
    </w:p>
    <w:p w14:paraId="2ACE3B5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1、所有设计变更、洽商记录、图纸会审纪录、施工组织设计等涉及工程内容及工程量的变化可能导致合同价款调整的必须在该事实发生后5天内经招标人会签；其中设计变更、现场签证、施工组织设计需经现场代表及招标人有关人员共同会签，才可作为合同价款调整依据，否则，结算时不予认可。</w:t>
      </w:r>
    </w:p>
    <w:p w14:paraId="0C6216D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2、已标价工程量清单中有适用于变更工程的子目的，采用该子目的单价。</w:t>
      </w:r>
    </w:p>
    <w:p w14:paraId="63FE5AD9">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3、已标价工程量清单中无适用于变更工程的子目，但有类似子目的，可在合理范围内参照类似子目的单价，由招标人与中标人商定。</w:t>
      </w:r>
    </w:p>
    <w:p w14:paraId="790852E2">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4、已标价工程量清单中无适用或类似子目的单价，由招标人与中标人商定。</w:t>
      </w:r>
    </w:p>
    <w:p w14:paraId="6574D9D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四、付款方式：</w:t>
      </w:r>
    </w:p>
    <w:p w14:paraId="079EA7B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仿宋_GB2312"/>
          <w:i w:val="0"/>
          <w:iCs w:val="0"/>
          <w:snapToGrid w:val="0"/>
          <w:szCs w:val="24"/>
          <w:lang w:val="en-US" w:eastAsia="zh-CN"/>
        </w:rPr>
      </w:pPr>
      <w:r>
        <w:rPr>
          <w:rFonts w:hint="default" w:cs="仿宋_GB2312"/>
          <w:i w:val="0"/>
          <w:iCs w:val="0"/>
          <w:snapToGrid w:val="0"/>
          <w:szCs w:val="24"/>
          <w:lang w:val="en-US" w:eastAsia="zh-CN"/>
        </w:rPr>
        <w:t>甲乙双方在签订合同时协商约定</w:t>
      </w:r>
      <w:r>
        <w:rPr>
          <w:rFonts w:hint="eastAsia" w:cs="仿宋_GB2312"/>
          <w:i w:val="0"/>
          <w:iCs w:val="0"/>
          <w:snapToGrid w:val="0"/>
          <w:szCs w:val="24"/>
          <w:lang w:val="en-US" w:eastAsia="zh-CN"/>
        </w:rPr>
        <w:t>。</w:t>
      </w:r>
    </w:p>
    <w:p w14:paraId="6673A579">
      <w:pPr>
        <w:pStyle w:val="4"/>
        <w:pageBreakBefore w:val="0"/>
        <w:widowControl w:val="0"/>
        <w:numPr>
          <w:ilvl w:val="0"/>
          <w:numId w:val="0"/>
        </w:numPr>
        <w:kinsoku/>
        <w:overflowPunct/>
        <w:topLinePunct w:val="0"/>
        <w:autoSpaceDE/>
        <w:autoSpaceDN/>
        <w:bidi w:val="0"/>
        <w:adjustRightInd/>
        <w:snapToGrid/>
        <w:spacing w:before="0" w:after="0" w:line="360" w:lineRule="auto"/>
        <w:textAlignment w:val="auto"/>
        <w:rPr>
          <w:rFonts w:hint="eastAsia" w:ascii="宋体" w:hAnsi="宋体" w:eastAsia="宋体" w:cs="仿宋_GB2312"/>
          <w:b w:val="0"/>
          <w:bCs w:val="0"/>
          <w:i w:val="0"/>
          <w:iCs w:val="0"/>
          <w:snapToGrid w:val="0"/>
          <w:kern w:val="2"/>
          <w:sz w:val="24"/>
          <w:szCs w:val="24"/>
          <w:lang w:val="zh-CN" w:eastAsia="zh-CN" w:bidi="ar-SA"/>
        </w:rPr>
      </w:pPr>
    </w:p>
    <w:p w14:paraId="513BC9D9">
      <w:pPr>
        <w:pStyle w:val="4"/>
        <w:pageBreakBefore w:val="0"/>
        <w:widowControl w:val="0"/>
        <w:numPr>
          <w:ilvl w:val="0"/>
          <w:numId w:val="0"/>
        </w:numPr>
        <w:kinsoku/>
        <w:overflowPunct/>
        <w:topLinePunct w:val="0"/>
        <w:autoSpaceDE/>
        <w:autoSpaceDN/>
        <w:bidi w:val="0"/>
        <w:adjustRightInd/>
        <w:snapToGrid/>
        <w:spacing w:before="0" w:after="0" w:line="360" w:lineRule="auto"/>
        <w:textAlignment w:val="auto"/>
        <w:rPr>
          <w:rFonts w:hint="eastAsia" w:ascii="宋体" w:hAnsi="宋体" w:eastAsia="宋体" w:cs="仿宋_GB2312"/>
          <w:b w:val="0"/>
          <w:bCs w:val="0"/>
          <w:i w:val="0"/>
          <w:iCs w:val="0"/>
          <w:snapToGrid w:val="0"/>
          <w:kern w:val="2"/>
          <w:sz w:val="24"/>
          <w:szCs w:val="24"/>
          <w:lang w:val="zh-CN" w:eastAsia="zh-CN" w:bidi="ar-SA"/>
        </w:rPr>
      </w:pPr>
    </w:p>
    <w:bookmarkEnd w:id="5"/>
    <w:bookmarkEnd w:id="6"/>
    <w:p w14:paraId="40D211A6">
      <w:pPr>
        <w:pStyle w:val="6"/>
        <w:rPr>
          <w:rFonts w:hint="eastAsia" w:cs="仿宋_GB2312"/>
          <w:i w:val="0"/>
          <w:iCs w:val="0"/>
          <w:snapToGrid w:val="0"/>
          <w:szCs w:val="24"/>
          <w:lang w:val="zh-CN"/>
        </w:rPr>
      </w:pPr>
    </w:p>
    <w:p w14:paraId="632E8383">
      <w:pPr>
        <w:pStyle w:val="6"/>
        <w:rPr>
          <w:rFonts w:hint="eastAsia" w:cs="仿宋_GB2312"/>
          <w:i w:val="0"/>
          <w:iCs w:val="0"/>
          <w:snapToGrid w:val="0"/>
          <w:szCs w:val="24"/>
          <w:lang w:val="zh-CN"/>
        </w:rPr>
      </w:pPr>
    </w:p>
    <w:p w14:paraId="503B6E51">
      <w:pPr>
        <w:pStyle w:val="6"/>
        <w:rPr>
          <w:rFonts w:hint="eastAsia" w:cs="仿宋_GB2312"/>
          <w:i w:val="0"/>
          <w:iCs w:val="0"/>
          <w:snapToGrid w:val="0"/>
          <w:szCs w:val="24"/>
          <w:lang w:val="zh-CN"/>
        </w:rPr>
      </w:pPr>
    </w:p>
    <w:p w14:paraId="36997545">
      <w:pPr>
        <w:pStyle w:val="6"/>
        <w:rPr>
          <w:rFonts w:hint="eastAsia" w:cs="仿宋_GB2312"/>
          <w:i w:val="0"/>
          <w:iCs w:val="0"/>
          <w:snapToGrid w:val="0"/>
          <w:szCs w:val="24"/>
          <w:lang w:val="zh-CN"/>
        </w:rPr>
      </w:pPr>
    </w:p>
    <w:p w14:paraId="17E28383">
      <w:pPr>
        <w:pStyle w:val="6"/>
        <w:rPr>
          <w:rFonts w:hint="eastAsia" w:cs="仿宋_GB2312"/>
          <w:i w:val="0"/>
          <w:iCs w:val="0"/>
          <w:snapToGrid w:val="0"/>
          <w:szCs w:val="24"/>
          <w:lang w:val="zh-CN"/>
        </w:rPr>
      </w:pPr>
    </w:p>
    <w:p w14:paraId="70E26EEE">
      <w:pPr>
        <w:pStyle w:val="6"/>
        <w:rPr>
          <w:rFonts w:hint="eastAsia" w:cs="仿宋_GB2312"/>
          <w:i w:val="0"/>
          <w:iCs w:val="0"/>
          <w:snapToGrid w:val="0"/>
          <w:szCs w:val="24"/>
          <w:lang w:val="zh-CN"/>
        </w:rPr>
      </w:pPr>
    </w:p>
    <w:p w14:paraId="67439E18">
      <w:pPr>
        <w:pStyle w:val="6"/>
        <w:rPr>
          <w:rFonts w:hint="eastAsia" w:cs="仿宋_GB2312"/>
          <w:i w:val="0"/>
          <w:iCs w:val="0"/>
          <w:snapToGrid w:val="0"/>
          <w:szCs w:val="24"/>
          <w:lang w:val="zh-CN"/>
        </w:rPr>
      </w:pPr>
    </w:p>
    <w:p w14:paraId="28F26FE3">
      <w:pPr>
        <w:pStyle w:val="6"/>
        <w:rPr>
          <w:rFonts w:hint="eastAsia" w:cs="仿宋_GB2312"/>
          <w:i w:val="0"/>
          <w:iCs w:val="0"/>
          <w:snapToGrid w:val="0"/>
          <w:szCs w:val="24"/>
          <w:lang w:val="zh-CN"/>
        </w:rPr>
      </w:pPr>
    </w:p>
    <w:p w14:paraId="514899DA">
      <w:pPr>
        <w:pStyle w:val="6"/>
        <w:rPr>
          <w:rFonts w:hint="eastAsia" w:cs="仿宋_GB2312"/>
          <w:i w:val="0"/>
          <w:iCs w:val="0"/>
          <w:snapToGrid w:val="0"/>
          <w:szCs w:val="24"/>
          <w:lang w:val="zh-CN"/>
        </w:rPr>
      </w:pPr>
    </w:p>
    <w:p w14:paraId="5EF11724">
      <w:pPr>
        <w:pStyle w:val="6"/>
        <w:rPr>
          <w:rFonts w:hint="eastAsia" w:cs="仿宋_GB2312"/>
          <w:i w:val="0"/>
          <w:iCs w:val="0"/>
          <w:snapToGrid w:val="0"/>
          <w:szCs w:val="24"/>
          <w:lang w:val="zh-CN"/>
        </w:rPr>
      </w:pPr>
    </w:p>
    <w:p w14:paraId="5F5FEEDE">
      <w:pPr>
        <w:pStyle w:val="6"/>
        <w:rPr>
          <w:rFonts w:hint="eastAsia" w:cs="仿宋_GB2312"/>
          <w:i w:val="0"/>
          <w:iCs w:val="0"/>
          <w:snapToGrid w:val="0"/>
          <w:szCs w:val="24"/>
          <w:lang w:val="zh-CN"/>
        </w:rPr>
      </w:pPr>
    </w:p>
    <w:p w14:paraId="4E04EB9B">
      <w:pPr>
        <w:pStyle w:val="6"/>
        <w:rPr>
          <w:rFonts w:hint="eastAsia" w:cs="仿宋_GB2312"/>
          <w:i w:val="0"/>
          <w:iCs w:val="0"/>
          <w:snapToGrid w:val="0"/>
          <w:szCs w:val="24"/>
          <w:lang w:val="zh-CN"/>
        </w:rPr>
      </w:pPr>
    </w:p>
    <w:p w14:paraId="64116645">
      <w:pPr>
        <w:pStyle w:val="6"/>
        <w:rPr>
          <w:rFonts w:hint="eastAsia" w:cs="仿宋_GB2312"/>
          <w:i w:val="0"/>
          <w:iCs w:val="0"/>
          <w:snapToGrid w:val="0"/>
          <w:szCs w:val="24"/>
          <w:lang w:val="zh-CN"/>
        </w:rPr>
      </w:pPr>
    </w:p>
    <w:p w14:paraId="02F1D941">
      <w:pPr>
        <w:pStyle w:val="6"/>
        <w:rPr>
          <w:rFonts w:hint="eastAsia" w:cs="仿宋_GB2312"/>
          <w:i w:val="0"/>
          <w:iCs w:val="0"/>
          <w:snapToGrid w:val="0"/>
          <w:szCs w:val="24"/>
          <w:lang w:val="zh-CN"/>
        </w:rPr>
      </w:pPr>
    </w:p>
    <w:p w14:paraId="2CD10CBD">
      <w:pPr>
        <w:pStyle w:val="6"/>
        <w:rPr>
          <w:rFonts w:hint="eastAsia" w:cs="仿宋_GB2312"/>
          <w:i w:val="0"/>
          <w:iCs w:val="0"/>
          <w:snapToGrid w:val="0"/>
          <w:szCs w:val="24"/>
          <w:lang w:val="zh-CN"/>
        </w:rPr>
      </w:pPr>
    </w:p>
    <w:p w14:paraId="35A8B6D6">
      <w:pPr>
        <w:pStyle w:val="6"/>
        <w:rPr>
          <w:rFonts w:hint="eastAsia" w:cs="仿宋_GB2312"/>
          <w:i w:val="0"/>
          <w:iCs w:val="0"/>
          <w:snapToGrid w:val="0"/>
          <w:szCs w:val="24"/>
          <w:lang w:val="zh-CN"/>
        </w:rPr>
      </w:pPr>
    </w:p>
    <w:p w14:paraId="0851F75C">
      <w:pPr>
        <w:pStyle w:val="6"/>
        <w:rPr>
          <w:rFonts w:hint="eastAsia" w:cs="仿宋_GB2312"/>
          <w:i w:val="0"/>
          <w:iCs w:val="0"/>
          <w:snapToGrid w:val="0"/>
          <w:szCs w:val="24"/>
          <w:lang w:val="zh-CN"/>
        </w:rPr>
      </w:pPr>
    </w:p>
    <w:p w14:paraId="528174D8">
      <w:pPr>
        <w:pStyle w:val="6"/>
        <w:rPr>
          <w:rFonts w:hint="eastAsia" w:cs="仿宋_GB2312"/>
          <w:i w:val="0"/>
          <w:iCs w:val="0"/>
          <w:snapToGrid w:val="0"/>
          <w:szCs w:val="24"/>
          <w:lang w:val="zh-CN"/>
        </w:rPr>
      </w:pPr>
    </w:p>
    <w:p w14:paraId="73ECB608">
      <w:pPr>
        <w:pStyle w:val="6"/>
        <w:rPr>
          <w:rFonts w:hint="eastAsia" w:cs="仿宋_GB2312"/>
          <w:i w:val="0"/>
          <w:iCs w:val="0"/>
          <w:snapToGrid w:val="0"/>
          <w:szCs w:val="24"/>
          <w:lang w:val="zh-CN"/>
        </w:rPr>
      </w:pPr>
    </w:p>
    <w:p w14:paraId="1199DEEF">
      <w:pPr>
        <w:pStyle w:val="6"/>
        <w:rPr>
          <w:rFonts w:hint="eastAsia" w:cs="仿宋_GB2312"/>
          <w:i w:val="0"/>
          <w:iCs w:val="0"/>
          <w:snapToGrid w:val="0"/>
          <w:szCs w:val="24"/>
          <w:lang w:val="zh-CN"/>
        </w:rPr>
      </w:pPr>
    </w:p>
    <w:p w14:paraId="60747813">
      <w:pPr>
        <w:pStyle w:val="6"/>
        <w:rPr>
          <w:rFonts w:hint="eastAsia" w:cs="仿宋_GB2312"/>
          <w:i w:val="0"/>
          <w:iCs w:val="0"/>
          <w:snapToGrid w:val="0"/>
          <w:szCs w:val="24"/>
          <w:lang w:val="zh-CN"/>
        </w:rPr>
      </w:pPr>
    </w:p>
    <w:p w14:paraId="7B7A0254">
      <w:pPr>
        <w:pStyle w:val="6"/>
        <w:rPr>
          <w:rFonts w:hint="eastAsia" w:cs="仿宋_GB2312"/>
          <w:i w:val="0"/>
          <w:iCs w:val="0"/>
          <w:snapToGrid w:val="0"/>
          <w:szCs w:val="24"/>
          <w:lang w:val="zh-CN"/>
        </w:rPr>
      </w:pPr>
    </w:p>
    <w:sectPr>
      <w:pgSz w:w="11910" w:h="16840"/>
      <w:pgMar w:top="1440" w:right="1800" w:bottom="1440" w:left="1800" w:header="0" w:footer="663"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s>
  <w:rsids>
    <w:rsidRoot w:val="00000000"/>
    <w:rsid w:val="013B3649"/>
    <w:rsid w:val="04B8713B"/>
    <w:rsid w:val="073C31C4"/>
    <w:rsid w:val="0866248B"/>
    <w:rsid w:val="09E83048"/>
    <w:rsid w:val="14A5684C"/>
    <w:rsid w:val="1F8A3BE3"/>
    <w:rsid w:val="21937A2C"/>
    <w:rsid w:val="2A370641"/>
    <w:rsid w:val="2A5B0357"/>
    <w:rsid w:val="2BAD7E43"/>
    <w:rsid w:val="3A4D2A17"/>
    <w:rsid w:val="3B5C26A3"/>
    <w:rsid w:val="450D4FA3"/>
    <w:rsid w:val="48BA7138"/>
    <w:rsid w:val="49FD549A"/>
    <w:rsid w:val="4C0009C0"/>
    <w:rsid w:val="4E96111E"/>
    <w:rsid w:val="4F8C2241"/>
    <w:rsid w:val="5080549C"/>
    <w:rsid w:val="56C93DF1"/>
    <w:rsid w:val="5AAB6338"/>
    <w:rsid w:val="63D74F7B"/>
    <w:rsid w:val="66167B41"/>
    <w:rsid w:val="727F505F"/>
    <w:rsid w:val="784610B8"/>
    <w:rsid w:val="7EC7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widowControl/>
      <w:ind w:firstLine="420"/>
    </w:pPr>
    <w:rPr>
      <w:rFonts w:eastAsia="仿宋_GB2312"/>
      <w:sz w:val="30"/>
      <w:szCs w:val="20"/>
    </w:rPr>
  </w:style>
  <w:style w:type="paragraph" w:styleId="6">
    <w:name w:val="Body Text"/>
    <w:basedOn w:val="1"/>
    <w:unhideWhenUsed/>
    <w:qFormat/>
    <w:uiPriority w:val="99"/>
    <w:pPr>
      <w:spacing w:after="120" w:line="240" w:lineRule="auto"/>
      <w:jc w:val="both"/>
    </w:pPr>
    <w:rPr>
      <w:rFonts w:ascii="Times New Roman" w:hAnsi="Times New Roman" w:cs="Times New Roman"/>
      <w:kern w:val="0"/>
      <w:sz w:val="20"/>
      <w:szCs w:val="20"/>
    </w:rPr>
  </w:style>
  <w:style w:type="paragraph" w:styleId="7">
    <w:name w:val="Plain Text"/>
    <w:basedOn w:val="1"/>
    <w:qFormat/>
    <w:uiPriority w:val="0"/>
    <w:rPr>
      <w:rFonts w:ascii="宋体"/>
      <w:szCs w:val="21"/>
    </w:rPr>
  </w:style>
  <w:style w:type="paragraph" w:styleId="10">
    <w:name w:val="No Spacing"/>
    <w:autoRedefine/>
    <w:qFormat/>
    <w:uiPriority w:val="1"/>
    <w:pPr>
      <w:widowControl w:val="0"/>
    </w:pPr>
    <w:rPr>
      <w:rFonts w:ascii="宋体" w:hAnsi="宋体" w:eastAsia="宋体" w:cstheme="minorBidi"/>
      <w:kern w:val="2"/>
      <w:sz w:val="21"/>
      <w:szCs w:val="22"/>
      <w:lang w:val="en-US" w:eastAsia="zh-CN" w:bidi="ar-SA"/>
    </w:rPr>
  </w:style>
  <w:style w:type="paragraph" w:customStyle="1" w:styleId="11">
    <w:name w:val="正文缩进2"/>
    <w:basedOn w:val="1"/>
    <w:autoRedefine/>
    <w:qFormat/>
    <w:uiPriority w:val="0"/>
    <w:pPr>
      <w:wordWrap w:val="0"/>
      <w:ind w:firstLine="200" w:firstLineChars="200"/>
    </w:pPr>
  </w:style>
  <w:style w:type="paragraph" w:customStyle="1" w:styleId="12">
    <w:name w:val="Table Paragraph"/>
    <w:basedOn w:val="1"/>
    <w:autoRedefine/>
    <w:qFormat/>
    <w:uiPriority w:val="1"/>
    <w:rPr>
      <w:rFonts w:ascii="宋体" w:hAnsi="宋体" w:eastAsia="宋体" w:cs="宋体"/>
      <w:lang w:val="zh-CN" w:eastAsia="zh-CN" w:bidi="zh-CN"/>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899</Words>
  <Characters>926</Characters>
  <Lines>0</Lines>
  <Paragraphs>0</Paragraphs>
  <TotalTime>0</TotalTime>
  <ScaleCrop>false</ScaleCrop>
  <LinksUpToDate>false</LinksUpToDate>
  <CharactersWithSpaces>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2023-02-13T01:32:00Z</dcterms:created>
  <dc:creator>Administrator</dc:creator>
  <cp:lastModifiedBy>哈尔</cp:lastModifiedBy>
  <cp:lastPrinted>2025-06-13T08:30:00Z</cp:lastPrinted>
  <dcterms:modified xsi:type="dcterms:W3CDTF">2025-07-04T08:35:18Z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DD21B3EBD9234D4E94A338F46360705C_13</vt:lpwstr>
  </property>
  <property fmtid="{D5CDD505-2E9C-101B-9397-08002B2CF9AE}" pid="4" name="KSOTemplateDocerSaveRecord">
    <vt:lpwstr>eyJoZGlkIjoiNGE5ZDJjYzNmODVlMDE4YmQwN2NiMWU0NTJkZWQ0ZjMiLCJ1c2VySWQiOiI3NjMwODA5OTcifQ==</vt:lpwstr>
  </property>
</Properties>
</file>