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810D8">
      <w:pPr>
        <w:spacing w:line="480" w:lineRule="exact"/>
        <w:jc w:val="center"/>
        <w:rPr>
          <w:rFonts w:ascii="Times New Roman" w:hAnsi="Times New Roman" w:cs="Times New Roman"/>
          <w:b/>
          <w:bCs/>
          <w:sz w:val="30"/>
          <w:szCs w:val="30"/>
          <w:lang w:val="hr-HR"/>
        </w:rPr>
      </w:pPr>
      <w:r>
        <w:rPr>
          <w:rFonts w:hint="eastAsia" w:ascii="Times New Roman" w:hAnsi="Times New Roman" w:cs="宋体"/>
          <w:b/>
          <w:bCs/>
          <w:sz w:val="30"/>
          <w:szCs w:val="30"/>
          <w:lang w:val="hr-HR"/>
        </w:rPr>
        <w:t>采购</w:t>
      </w:r>
      <w:r>
        <w:rPr>
          <w:rFonts w:hint="eastAsia" w:ascii="Times New Roman" w:hAnsi="Times New Roman" w:cs="宋体"/>
          <w:b/>
          <w:bCs/>
          <w:sz w:val="30"/>
          <w:szCs w:val="30"/>
        </w:rPr>
        <w:t>货物（工程或服务）技术参数、规格及商务要求</w:t>
      </w:r>
    </w:p>
    <w:p w14:paraId="06E5453C">
      <w:pPr>
        <w:ind w:firstLine="480" w:firstLineChars="200"/>
        <w:rPr>
          <w:rFonts w:ascii="Helvetica" w:hAnsi="Helvetica" w:cs="Helvetica"/>
          <w:kern w:val="0"/>
          <w:sz w:val="24"/>
          <w:szCs w:val="24"/>
        </w:rPr>
      </w:pPr>
    </w:p>
    <w:p w14:paraId="3184F7B2">
      <w:pPr>
        <w:adjustRightInd w:val="0"/>
        <w:snapToGrid w:val="0"/>
        <w:spacing w:line="440" w:lineRule="exact"/>
        <w:ind w:firstLine="482" w:firstLineChars="200"/>
        <w:rPr>
          <w:rFonts w:ascii="黑体" w:hAnsi="黑体" w:eastAsia="黑体" w:cs="黑体"/>
          <w:b/>
          <w:bCs/>
          <w:sz w:val="24"/>
          <w:szCs w:val="24"/>
        </w:rPr>
      </w:pPr>
      <w:bookmarkStart w:id="0" w:name="_Toc339378680"/>
      <w:bookmarkStart w:id="1" w:name="_Toc338065594"/>
      <w:bookmarkStart w:id="2" w:name="_Toc497394268"/>
      <w:bookmarkStart w:id="3" w:name="_Toc494561953"/>
      <w:r>
        <w:rPr>
          <w:rFonts w:hint="eastAsia" w:ascii="黑体" w:hAnsi="黑体" w:eastAsia="黑体" w:cs="黑体"/>
          <w:b/>
          <w:bCs/>
          <w:sz w:val="24"/>
          <w:szCs w:val="24"/>
        </w:rPr>
        <w:t>一、项目简介</w:t>
      </w:r>
    </w:p>
    <w:p w14:paraId="70373553">
      <w:pPr>
        <w:spacing w:line="440" w:lineRule="exact"/>
        <w:ind w:firstLine="480" w:firstLineChars="200"/>
        <w:rPr>
          <w:rFonts w:hint="eastAsia" w:cs="宋体"/>
          <w:sz w:val="24"/>
          <w:szCs w:val="24"/>
        </w:rPr>
      </w:pPr>
      <w:r>
        <w:rPr>
          <w:rFonts w:hint="eastAsia" w:cs="宋体"/>
          <w:sz w:val="24"/>
          <w:szCs w:val="24"/>
        </w:rPr>
        <w:t>本项目为</w:t>
      </w:r>
      <w:r>
        <w:rPr>
          <w:rFonts w:hint="eastAsia" w:eastAsia="宋体" w:cs="宋体"/>
          <w:sz w:val="24"/>
          <w:szCs w:val="24"/>
          <w:lang w:eastAsia="zh-CN"/>
        </w:rPr>
        <w:t>鄂州市华容区华容中学运动场改造工程</w:t>
      </w:r>
      <w:r>
        <w:rPr>
          <w:rFonts w:hint="eastAsia" w:eastAsia="宋体" w:cs="宋体"/>
          <w:sz w:val="24"/>
          <w:szCs w:val="24"/>
        </w:rPr>
        <w:t>，建</w:t>
      </w:r>
      <w:r>
        <w:rPr>
          <w:rFonts w:hint="eastAsia" w:cs="宋体"/>
          <w:sz w:val="24"/>
          <w:szCs w:val="24"/>
        </w:rPr>
        <w:t>设地点位于</w:t>
      </w:r>
      <w:r>
        <w:rPr>
          <w:rFonts w:hint="eastAsia" w:eastAsia="宋体" w:cs="宋体"/>
          <w:sz w:val="24"/>
          <w:szCs w:val="24"/>
          <w:lang w:eastAsia="zh-CN"/>
        </w:rPr>
        <w:t>鄂州市华容区华容中学</w:t>
      </w:r>
      <w:r>
        <w:rPr>
          <w:rFonts w:hint="eastAsia" w:cs="宋体"/>
          <w:sz w:val="24"/>
          <w:szCs w:val="24"/>
        </w:rPr>
        <w:t>，主要建设内容包括：</w:t>
      </w:r>
      <w:r>
        <w:rPr>
          <w:rFonts w:hint="eastAsia" w:eastAsia="宋体" w:cs="宋体"/>
          <w:sz w:val="24"/>
          <w:szCs w:val="24"/>
          <w:lang w:eastAsia="zh-CN"/>
        </w:rPr>
        <w:t>鄂州市华容区华容中学运动场改造工程</w:t>
      </w:r>
      <w:r>
        <w:rPr>
          <w:rFonts w:hint="eastAsia" w:ascii="宋体" w:hAnsi="宋体" w:eastAsia="宋体" w:cs="宋体"/>
          <w:snapToGrid w:val="0"/>
          <w:sz w:val="24"/>
          <w:szCs w:val="24"/>
          <w:lang w:val="en-US" w:eastAsia="zh-CN"/>
        </w:rPr>
        <w:t>施工图纸及工程量清单范围内所有内容</w:t>
      </w:r>
      <w:r>
        <w:rPr>
          <w:rFonts w:hint="eastAsia" w:cs="宋体"/>
          <w:sz w:val="24"/>
          <w:szCs w:val="24"/>
        </w:rPr>
        <w:t>。</w:t>
      </w:r>
    </w:p>
    <w:p w14:paraId="78924D82">
      <w:pPr>
        <w:spacing w:line="440" w:lineRule="exact"/>
        <w:ind w:firstLine="480" w:firstLineChars="200"/>
        <w:rPr>
          <w:rFonts w:cs="宋体"/>
          <w:sz w:val="24"/>
          <w:szCs w:val="24"/>
          <w:highlight w:val="none"/>
        </w:rPr>
      </w:pPr>
      <w:r>
        <w:rPr>
          <w:rFonts w:hint="eastAsia" w:cs="宋体"/>
          <w:sz w:val="24"/>
          <w:szCs w:val="24"/>
          <w:lang w:val="en-US" w:eastAsia="zh-CN"/>
        </w:rPr>
        <w:t>一、</w:t>
      </w:r>
      <w:r>
        <w:rPr>
          <w:rFonts w:hint="eastAsia" w:cs="宋体"/>
          <w:sz w:val="24"/>
          <w:szCs w:val="24"/>
        </w:rPr>
        <w:t xml:space="preserve"> 采购</w:t>
      </w:r>
      <w:r>
        <w:rPr>
          <w:rFonts w:hint="eastAsia" w:cs="宋体"/>
          <w:sz w:val="24"/>
          <w:szCs w:val="24"/>
          <w:highlight w:val="none"/>
        </w:rPr>
        <w:t>预算：</w:t>
      </w:r>
      <w:r>
        <w:rPr>
          <w:rFonts w:hint="eastAsia" w:ascii="宋体" w:hAnsi="宋体" w:cs="宋体"/>
          <w:color w:val="000000"/>
          <w:kern w:val="0"/>
          <w:sz w:val="24"/>
          <w:highlight w:val="none"/>
          <w:lang w:val="en-US" w:eastAsia="zh-CN"/>
        </w:rPr>
        <w:t>1170323.28</w:t>
      </w:r>
      <w:r>
        <w:rPr>
          <w:rFonts w:hint="eastAsia" w:cs="宋体"/>
          <w:sz w:val="24"/>
          <w:szCs w:val="24"/>
          <w:highlight w:val="none"/>
        </w:rPr>
        <w:t>元</w:t>
      </w:r>
    </w:p>
    <w:p w14:paraId="3DF5F572">
      <w:pPr>
        <w:spacing w:line="440" w:lineRule="exact"/>
        <w:ind w:firstLine="480" w:firstLineChars="200"/>
        <w:rPr>
          <w:rFonts w:hint="eastAsia" w:ascii="宋体" w:hAnsi="宋体" w:cs="宋体"/>
          <w:color w:val="000000"/>
          <w:kern w:val="0"/>
          <w:sz w:val="24"/>
          <w:highlight w:val="none"/>
          <w:lang w:val="en-US" w:eastAsia="zh-CN"/>
        </w:rPr>
      </w:pPr>
      <w:r>
        <w:rPr>
          <w:rFonts w:hint="eastAsia" w:cs="宋体"/>
          <w:sz w:val="24"/>
          <w:szCs w:val="24"/>
          <w:highlight w:val="none"/>
          <w:lang w:val="en-US" w:eastAsia="zh-CN"/>
        </w:rPr>
        <w:t>二、</w:t>
      </w:r>
      <w:r>
        <w:rPr>
          <w:rFonts w:hint="eastAsia" w:cs="宋体"/>
          <w:sz w:val="24"/>
          <w:szCs w:val="24"/>
          <w:highlight w:val="none"/>
        </w:rPr>
        <w:t>最高限价：</w:t>
      </w:r>
      <w:r>
        <w:rPr>
          <w:rFonts w:hint="eastAsia" w:ascii="宋体" w:hAnsi="宋体" w:cs="宋体"/>
          <w:color w:val="000000"/>
          <w:kern w:val="0"/>
          <w:sz w:val="24"/>
          <w:highlight w:val="none"/>
          <w:lang w:val="en-US" w:eastAsia="zh-CN"/>
        </w:rPr>
        <w:t>1170323.28元</w:t>
      </w:r>
    </w:p>
    <w:p w14:paraId="09DAFAE2">
      <w:pPr>
        <w:spacing w:line="440" w:lineRule="exact"/>
        <w:ind w:firstLine="480" w:firstLineChars="200"/>
        <w:rPr>
          <w:rFonts w:hint="eastAsia" w:eastAsia="宋体" w:cs="宋体"/>
          <w:sz w:val="24"/>
          <w:szCs w:val="24"/>
          <w:highlight w:val="none"/>
          <w:lang w:val="en-US" w:eastAsia="zh-CN"/>
        </w:rPr>
      </w:pPr>
      <w:r>
        <w:rPr>
          <w:rFonts w:hint="eastAsia" w:cs="宋体"/>
          <w:sz w:val="24"/>
          <w:szCs w:val="24"/>
          <w:highlight w:val="none"/>
          <w:lang w:val="en-US" w:eastAsia="zh-CN"/>
        </w:rPr>
        <w:t>三、</w:t>
      </w:r>
      <w:r>
        <w:rPr>
          <w:rFonts w:hint="eastAsia" w:eastAsia="宋体" w:cs="宋体"/>
          <w:sz w:val="24"/>
          <w:szCs w:val="24"/>
          <w:highlight w:val="none"/>
          <w:lang w:val="en-US" w:eastAsia="zh-CN"/>
        </w:rPr>
        <w:t>本项目的特定资格要求：</w:t>
      </w:r>
    </w:p>
    <w:p w14:paraId="54CB6E91">
      <w:pPr>
        <w:spacing w:line="440" w:lineRule="exact"/>
        <w:ind w:firstLine="480" w:firstLineChars="200"/>
        <w:rPr>
          <w:rFonts w:hint="eastAsia" w:eastAsia="宋体" w:cs="宋体"/>
          <w:sz w:val="24"/>
          <w:szCs w:val="24"/>
          <w:highlight w:val="none"/>
          <w:lang w:val="en-US" w:eastAsia="zh-CN"/>
        </w:rPr>
      </w:pPr>
      <w:r>
        <w:rPr>
          <w:rFonts w:hint="eastAsia" w:eastAsia="宋体" w:cs="宋体"/>
          <w:sz w:val="24"/>
          <w:szCs w:val="24"/>
          <w:highlight w:val="none"/>
          <w:lang w:val="en-US" w:eastAsia="zh-CN"/>
        </w:rPr>
        <w:t>（1）投标人具备住房城乡建设主管部门颁发的有效的建筑工程施工总承包三级及以上资质，具有有效的安全生产许可证；</w:t>
      </w:r>
    </w:p>
    <w:p w14:paraId="2C805AF0">
      <w:pPr>
        <w:spacing w:line="440" w:lineRule="exact"/>
        <w:ind w:firstLine="480" w:firstLineChars="200"/>
        <w:rPr>
          <w:rFonts w:hint="default" w:eastAsia="宋体" w:cs="宋体"/>
          <w:sz w:val="24"/>
          <w:szCs w:val="24"/>
          <w:highlight w:val="none"/>
          <w:lang w:val="en-US" w:eastAsia="zh-CN"/>
        </w:rPr>
      </w:pPr>
      <w:r>
        <w:rPr>
          <w:rFonts w:hint="eastAsia" w:eastAsia="宋体" w:cs="宋体"/>
          <w:sz w:val="24"/>
          <w:szCs w:val="24"/>
          <w:highlight w:val="none"/>
          <w:lang w:val="en-US" w:eastAsia="zh-CN"/>
        </w:rPr>
        <w:t>（2）拟派项目经理具备建筑工程专业二级及以上注册建造师执业资格，具备有效的安全生产考核合格证书（B证）</w:t>
      </w:r>
      <w:r>
        <w:rPr>
          <w:rFonts w:hint="eastAsia" w:cs="宋体"/>
          <w:sz w:val="24"/>
          <w:szCs w:val="24"/>
          <w:highlight w:val="none"/>
          <w:lang w:val="en-US" w:eastAsia="zh-CN"/>
        </w:rPr>
        <w:t>。</w:t>
      </w:r>
      <w:bookmarkStart w:id="11" w:name="_GoBack"/>
      <w:bookmarkEnd w:id="11"/>
    </w:p>
    <w:p w14:paraId="3A1E08CC">
      <w:pPr>
        <w:adjustRightInd w:val="0"/>
        <w:snapToGrid w:val="0"/>
        <w:spacing w:line="440" w:lineRule="exact"/>
        <w:ind w:firstLine="482" w:firstLineChars="200"/>
        <w:rPr>
          <w:rFonts w:ascii="黑体" w:hAnsi="黑体" w:eastAsia="黑体" w:cs="黑体"/>
          <w:b/>
          <w:bCs/>
          <w:sz w:val="24"/>
          <w:szCs w:val="24"/>
        </w:rPr>
      </w:pPr>
      <w:r>
        <w:rPr>
          <w:rFonts w:hint="eastAsia" w:ascii="黑体" w:hAnsi="黑体" w:eastAsia="黑体" w:cs="黑体"/>
          <w:b/>
          <w:bCs/>
          <w:sz w:val="24"/>
          <w:szCs w:val="24"/>
        </w:rPr>
        <w:t>二、采购项目需求一览表</w:t>
      </w:r>
    </w:p>
    <w:tbl>
      <w:tblPr>
        <w:tblStyle w:val="5"/>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348"/>
        <w:gridCol w:w="750"/>
        <w:gridCol w:w="840"/>
        <w:gridCol w:w="1432"/>
      </w:tblGrid>
      <w:tr w14:paraId="7DA1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Pr>
          <w:p w14:paraId="7D908191">
            <w:pPr>
              <w:spacing w:line="440" w:lineRule="exact"/>
              <w:jc w:val="center"/>
              <w:rPr>
                <w:rFonts w:cs="宋体"/>
                <w:sz w:val="24"/>
                <w:szCs w:val="24"/>
              </w:rPr>
            </w:pPr>
            <w:r>
              <w:rPr>
                <w:rFonts w:hint="eastAsia" w:cs="宋体"/>
                <w:sz w:val="24"/>
                <w:szCs w:val="24"/>
              </w:rPr>
              <w:t>序号</w:t>
            </w:r>
          </w:p>
        </w:tc>
        <w:tc>
          <w:tcPr>
            <w:tcW w:w="4348" w:type="dxa"/>
          </w:tcPr>
          <w:p w14:paraId="57CBD34F">
            <w:pPr>
              <w:spacing w:line="440" w:lineRule="exact"/>
              <w:jc w:val="center"/>
              <w:rPr>
                <w:rFonts w:cs="宋体"/>
                <w:sz w:val="24"/>
                <w:szCs w:val="24"/>
              </w:rPr>
            </w:pPr>
            <w:r>
              <w:rPr>
                <w:rFonts w:hint="eastAsia" w:cs="宋体"/>
                <w:sz w:val="24"/>
                <w:szCs w:val="24"/>
              </w:rPr>
              <w:t>资料名称</w:t>
            </w:r>
          </w:p>
        </w:tc>
        <w:tc>
          <w:tcPr>
            <w:tcW w:w="750" w:type="dxa"/>
          </w:tcPr>
          <w:p w14:paraId="37C66310">
            <w:pPr>
              <w:spacing w:line="440" w:lineRule="exact"/>
              <w:jc w:val="center"/>
              <w:rPr>
                <w:rFonts w:cs="宋体"/>
                <w:sz w:val="24"/>
                <w:szCs w:val="24"/>
              </w:rPr>
            </w:pPr>
            <w:r>
              <w:rPr>
                <w:rFonts w:hint="eastAsia" w:cs="宋体"/>
                <w:sz w:val="24"/>
                <w:szCs w:val="24"/>
              </w:rPr>
              <w:t>单位</w:t>
            </w:r>
          </w:p>
        </w:tc>
        <w:tc>
          <w:tcPr>
            <w:tcW w:w="840" w:type="dxa"/>
          </w:tcPr>
          <w:p w14:paraId="743D27D5">
            <w:pPr>
              <w:spacing w:line="440" w:lineRule="exact"/>
              <w:jc w:val="center"/>
              <w:rPr>
                <w:rFonts w:cs="宋体"/>
                <w:sz w:val="24"/>
                <w:szCs w:val="24"/>
              </w:rPr>
            </w:pPr>
            <w:r>
              <w:rPr>
                <w:rFonts w:hint="eastAsia" w:cs="宋体"/>
                <w:sz w:val="24"/>
                <w:szCs w:val="24"/>
              </w:rPr>
              <w:t>数量</w:t>
            </w:r>
          </w:p>
        </w:tc>
        <w:tc>
          <w:tcPr>
            <w:tcW w:w="1432" w:type="dxa"/>
          </w:tcPr>
          <w:p w14:paraId="1C8CF86D">
            <w:pPr>
              <w:spacing w:line="440" w:lineRule="exact"/>
              <w:jc w:val="center"/>
              <w:rPr>
                <w:rFonts w:cs="宋体"/>
                <w:sz w:val="24"/>
                <w:szCs w:val="24"/>
              </w:rPr>
            </w:pPr>
            <w:r>
              <w:rPr>
                <w:rFonts w:hint="eastAsia" w:cs="宋体"/>
                <w:sz w:val="24"/>
                <w:szCs w:val="24"/>
              </w:rPr>
              <w:t>备注</w:t>
            </w:r>
          </w:p>
        </w:tc>
      </w:tr>
      <w:tr w14:paraId="5084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3FC32EEC">
            <w:pPr>
              <w:spacing w:line="440" w:lineRule="exact"/>
              <w:jc w:val="center"/>
              <w:rPr>
                <w:rFonts w:cs="宋体"/>
                <w:sz w:val="24"/>
                <w:szCs w:val="24"/>
              </w:rPr>
            </w:pPr>
            <w:r>
              <w:rPr>
                <w:rFonts w:hint="eastAsia" w:cs="宋体"/>
                <w:sz w:val="24"/>
                <w:szCs w:val="24"/>
              </w:rPr>
              <w:t>1</w:t>
            </w:r>
          </w:p>
        </w:tc>
        <w:tc>
          <w:tcPr>
            <w:tcW w:w="4348" w:type="dxa"/>
            <w:vAlign w:val="center"/>
          </w:tcPr>
          <w:p w14:paraId="6324B7E8">
            <w:pPr>
              <w:spacing w:line="440" w:lineRule="exact"/>
              <w:jc w:val="center"/>
              <w:rPr>
                <w:rFonts w:hint="eastAsia" w:eastAsia="宋体" w:cs="宋体"/>
                <w:sz w:val="24"/>
                <w:szCs w:val="24"/>
                <w:lang w:eastAsia="zh-CN"/>
              </w:rPr>
            </w:pPr>
            <w:r>
              <w:rPr>
                <w:rFonts w:hint="eastAsia" w:eastAsia="宋体" w:cs="宋体"/>
                <w:sz w:val="24"/>
                <w:szCs w:val="24"/>
                <w:lang w:eastAsia="zh-CN"/>
              </w:rPr>
              <w:t>鄂州市华容区华容中学运动场改造工程</w:t>
            </w:r>
            <w:r>
              <w:rPr>
                <w:rFonts w:hint="eastAsia" w:cs="宋体"/>
                <w:sz w:val="24"/>
                <w:szCs w:val="24"/>
                <w:lang w:eastAsia="zh-CN"/>
              </w:rPr>
              <w:t>（</w:t>
            </w:r>
            <w:r>
              <w:rPr>
                <w:rFonts w:hint="eastAsia" w:cs="宋体"/>
                <w:sz w:val="24"/>
                <w:szCs w:val="24"/>
              </w:rPr>
              <w:t>设计施工图</w:t>
            </w:r>
            <w:r>
              <w:rPr>
                <w:rFonts w:hint="eastAsia" w:cs="宋体"/>
                <w:sz w:val="24"/>
                <w:szCs w:val="24"/>
                <w:lang w:eastAsia="zh-CN"/>
              </w:rPr>
              <w:t>）</w:t>
            </w:r>
          </w:p>
        </w:tc>
        <w:tc>
          <w:tcPr>
            <w:tcW w:w="750" w:type="dxa"/>
            <w:vAlign w:val="center"/>
          </w:tcPr>
          <w:p w14:paraId="63B75948">
            <w:pPr>
              <w:spacing w:line="440" w:lineRule="exact"/>
              <w:jc w:val="center"/>
              <w:rPr>
                <w:rFonts w:cs="宋体"/>
                <w:sz w:val="24"/>
                <w:szCs w:val="24"/>
              </w:rPr>
            </w:pPr>
            <w:r>
              <w:rPr>
                <w:rFonts w:hint="eastAsia" w:cs="宋体"/>
                <w:sz w:val="24"/>
                <w:szCs w:val="24"/>
              </w:rPr>
              <w:t>套</w:t>
            </w:r>
          </w:p>
        </w:tc>
        <w:tc>
          <w:tcPr>
            <w:tcW w:w="840" w:type="dxa"/>
            <w:vAlign w:val="center"/>
          </w:tcPr>
          <w:p w14:paraId="3100E273">
            <w:pPr>
              <w:spacing w:line="440" w:lineRule="exact"/>
              <w:jc w:val="center"/>
              <w:rPr>
                <w:rFonts w:cs="宋体"/>
                <w:sz w:val="24"/>
                <w:szCs w:val="24"/>
              </w:rPr>
            </w:pPr>
            <w:r>
              <w:rPr>
                <w:rFonts w:hint="eastAsia" w:cs="宋体"/>
                <w:sz w:val="24"/>
                <w:szCs w:val="24"/>
              </w:rPr>
              <w:t>1</w:t>
            </w:r>
          </w:p>
        </w:tc>
        <w:tc>
          <w:tcPr>
            <w:tcW w:w="1432" w:type="dxa"/>
          </w:tcPr>
          <w:p w14:paraId="1EB08453">
            <w:pPr>
              <w:spacing w:line="440" w:lineRule="exact"/>
              <w:jc w:val="center"/>
              <w:rPr>
                <w:rFonts w:cs="宋体"/>
                <w:sz w:val="24"/>
                <w:szCs w:val="24"/>
              </w:rPr>
            </w:pPr>
          </w:p>
        </w:tc>
      </w:tr>
      <w:tr w14:paraId="71E6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Pr>
          <w:p w14:paraId="6F299F8D">
            <w:pPr>
              <w:spacing w:line="440" w:lineRule="exact"/>
              <w:jc w:val="center"/>
              <w:rPr>
                <w:rFonts w:cs="宋体"/>
                <w:sz w:val="24"/>
                <w:szCs w:val="24"/>
              </w:rPr>
            </w:pPr>
            <w:r>
              <w:rPr>
                <w:rFonts w:hint="eastAsia" w:cs="宋体"/>
                <w:sz w:val="24"/>
                <w:szCs w:val="24"/>
              </w:rPr>
              <w:t>2</w:t>
            </w:r>
          </w:p>
        </w:tc>
        <w:tc>
          <w:tcPr>
            <w:tcW w:w="4348" w:type="dxa"/>
          </w:tcPr>
          <w:p w14:paraId="0309BF1B">
            <w:pPr>
              <w:spacing w:line="440" w:lineRule="exact"/>
              <w:jc w:val="center"/>
              <w:rPr>
                <w:rFonts w:hint="eastAsia" w:eastAsia="宋体" w:cs="宋体"/>
                <w:sz w:val="24"/>
                <w:szCs w:val="24"/>
                <w:lang w:eastAsia="zh-CN"/>
              </w:rPr>
            </w:pPr>
            <w:r>
              <w:rPr>
                <w:rFonts w:hint="eastAsia" w:eastAsia="宋体" w:cs="宋体"/>
                <w:sz w:val="24"/>
                <w:szCs w:val="24"/>
                <w:lang w:eastAsia="zh-CN"/>
              </w:rPr>
              <w:t>鄂州市华容区华容中学运动场改造工程</w:t>
            </w:r>
            <w:r>
              <w:rPr>
                <w:rFonts w:hint="eastAsia" w:cs="宋体"/>
                <w:sz w:val="24"/>
                <w:szCs w:val="24"/>
                <w:lang w:eastAsia="zh-CN"/>
              </w:rPr>
              <w:t>（</w:t>
            </w:r>
            <w:r>
              <w:rPr>
                <w:rFonts w:hint="eastAsia" w:cs="宋体"/>
                <w:sz w:val="24"/>
                <w:szCs w:val="24"/>
              </w:rPr>
              <w:t>工程量清单</w:t>
            </w:r>
            <w:r>
              <w:rPr>
                <w:rFonts w:hint="eastAsia" w:cs="宋体"/>
                <w:sz w:val="24"/>
                <w:szCs w:val="24"/>
                <w:lang w:eastAsia="zh-CN"/>
              </w:rPr>
              <w:t>）</w:t>
            </w:r>
          </w:p>
        </w:tc>
        <w:tc>
          <w:tcPr>
            <w:tcW w:w="750" w:type="dxa"/>
            <w:vAlign w:val="center"/>
          </w:tcPr>
          <w:p w14:paraId="655B4C5E">
            <w:pPr>
              <w:spacing w:line="440" w:lineRule="exact"/>
              <w:jc w:val="center"/>
              <w:rPr>
                <w:rFonts w:cs="宋体"/>
                <w:sz w:val="24"/>
                <w:szCs w:val="24"/>
              </w:rPr>
            </w:pPr>
            <w:r>
              <w:rPr>
                <w:rFonts w:hint="eastAsia" w:cs="宋体"/>
                <w:sz w:val="24"/>
                <w:szCs w:val="24"/>
              </w:rPr>
              <w:t>套</w:t>
            </w:r>
          </w:p>
        </w:tc>
        <w:tc>
          <w:tcPr>
            <w:tcW w:w="840" w:type="dxa"/>
            <w:vAlign w:val="center"/>
          </w:tcPr>
          <w:p w14:paraId="5B7E0285">
            <w:pPr>
              <w:spacing w:line="440" w:lineRule="exact"/>
              <w:jc w:val="center"/>
              <w:rPr>
                <w:rFonts w:cs="宋体"/>
                <w:sz w:val="24"/>
                <w:szCs w:val="24"/>
              </w:rPr>
            </w:pPr>
            <w:r>
              <w:rPr>
                <w:rFonts w:hint="eastAsia" w:cs="宋体"/>
                <w:sz w:val="24"/>
                <w:szCs w:val="24"/>
              </w:rPr>
              <w:t>1</w:t>
            </w:r>
          </w:p>
        </w:tc>
        <w:tc>
          <w:tcPr>
            <w:tcW w:w="1432" w:type="dxa"/>
          </w:tcPr>
          <w:p w14:paraId="5F192A26">
            <w:pPr>
              <w:spacing w:line="440" w:lineRule="exact"/>
              <w:jc w:val="center"/>
              <w:rPr>
                <w:rFonts w:cs="宋体"/>
                <w:sz w:val="24"/>
                <w:szCs w:val="24"/>
              </w:rPr>
            </w:pPr>
          </w:p>
        </w:tc>
      </w:tr>
      <w:bookmarkEnd w:id="0"/>
      <w:bookmarkEnd w:id="1"/>
      <w:bookmarkEnd w:id="2"/>
      <w:bookmarkEnd w:id="3"/>
    </w:tbl>
    <w:p w14:paraId="36AD8F67">
      <w:pPr>
        <w:adjustRightInd w:val="0"/>
        <w:snapToGrid w:val="0"/>
        <w:spacing w:line="440" w:lineRule="exact"/>
        <w:ind w:firstLine="482" w:firstLineChars="200"/>
        <w:rPr>
          <w:rFonts w:ascii="黑体" w:hAnsi="黑体" w:eastAsia="黑体" w:cs="黑体"/>
          <w:b/>
          <w:bCs/>
          <w:sz w:val="24"/>
          <w:szCs w:val="24"/>
        </w:rPr>
      </w:pPr>
      <w:bookmarkStart w:id="4" w:name="_Toc36399098"/>
      <w:r>
        <w:rPr>
          <w:rFonts w:hint="eastAsia" w:ascii="黑体" w:hAnsi="黑体" w:eastAsia="黑体" w:cs="黑体"/>
          <w:b/>
          <w:bCs/>
          <w:sz w:val="24"/>
          <w:szCs w:val="24"/>
        </w:rPr>
        <w:t>三、商务要求</w:t>
      </w:r>
    </w:p>
    <w:p w14:paraId="5F7BF72E">
      <w:pPr>
        <w:spacing w:line="440" w:lineRule="exact"/>
        <w:ind w:firstLine="482" w:firstLineChars="200"/>
        <w:rPr>
          <w:rFonts w:cs="宋体"/>
          <w:b/>
          <w:bCs/>
          <w:sz w:val="24"/>
          <w:szCs w:val="24"/>
        </w:rPr>
      </w:pPr>
      <w:r>
        <w:rPr>
          <w:rFonts w:hint="eastAsia" w:cs="宋体"/>
          <w:b/>
          <w:bCs/>
          <w:sz w:val="24"/>
          <w:szCs w:val="24"/>
        </w:rPr>
        <w:t>（一）工程预算编制要求</w:t>
      </w:r>
    </w:p>
    <w:p w14:paraId="14DC2E70">
      <w:pPr>
        <w:spacing w:line="440" w:lineRule="exact"/>
        <w:ind w:firstLine="480" w:firstLineChars="200"/>
        <w:rPr>
          <w:rFonts w:cs="宋体"/>
          <w:sz w:val="24"/>
          <w:szCs w:val="24"/>
        </w:rPr>
      </w:pPr>
      <w:r>
        <w:rPr>
          <w:rFonts w:hint="eastAsia" w:ascii="宋体" w:hAnsi="宋体" w:cs="宋体"/>
          <w:sz w:val="24"/>
          <w:szCs w:val="24"/>
        </w:rPr>
        <w:t>本工</w:t>
      </w:r>
      <w:r>
        <w:rPr>
          <w:rFonts w:hint="eastAsia" w:ascii="宋体" w:hAnsi="宋体" w:cs="宋体"/>
          <w:sz w:val="24"/>
          <w:szCs w:val="24"/>
          <w:highlight w:val="none"/>
        </w:rPr>
        <w:t>程预算编制执行《建设工程工程量清单计价规范》（GB50500-2013年）、《湖北省公共专业</w:t>
      </w:r>
      <w:r>
        <w:rPr>
          <w:rFonts w:hint="eastAsia" w:ascii="宋体" w:hAnsi="宋体" w:cs="宋体"/>
          <w:sz w:val="24"/>
          <w:szCs w:val="24"/>
          <w:highlight w:val="none"/>
          <w:lang w:eastAsia="zh-CN"/>
        </w:rPr>
        <w:t>土石方</w:t>
      </w:r>
      <w:r>
        <w:rPr>
          <w:rFonts w:hint="eastAsia" w:ascii="宋体" w:hAnsi="宋体" w:cs="宋体"/>
          <w:sz w:val="24"/>
          <w:szCs w:val="24"/>
          <w:highlight w:val="none"/>
        </w:rPr>
        <w:t>消耗量定额及全费用基价表》（2018年）、《湖北省房屋建筑与装饰工程消耗量定额及全费用基价表》（2018年）、《湖北省建筑安装工程费用定额》（2018年）、《关于调整湖北省建设工程计价依据的通知》（鄂建办〔2019〕93号）、《湖北省房屋修缮工程消耗量定额及全费用基价表》（2019年）、《关于调整我省现行建设工程计价依据定额人工单价的通知》（厅头〔2021〕2263号）等以及国家、本省、市建设工程有关文件规定</w:t>
      </w:r>
      <w:r>
        <w:rPr>
          <w:rFonts w:hint="eastAsia" w:ascii="宋体" w:hAnsi="宋体" w:cs="宋体"/>
          <w:sz w:val="24"/>
          <w:szCs w:val="24"/>
        </w:rPr>
        <w:t>。</w:t>
      </w:r>
    </w:p>
    <w:p w14:paraId="6C3B3414">
      <w:pPr>
        <w:spacing w:line="440" w:lineRule="exact"/>
        <w:ind w:firstLine="482" w:firstLineChars="200"/>
        <w:rPr>
          <w:rFonts w:cs="宋体"/>
          <w:b/>
          <w:bCs/>
          <w:sz w:val="24"/>
          <w:szCs w:val="24"/>
          <w:highlight w:val="none"/>
        </w:rPr>
      </w:pPr>
      <w:r>
        <w:rPr>
          <w:rFonts w:hint="eastAsia" w:cs="宋体"/>
          <w:b/>
          <w:bCs/>
          <w:sz w:val="24"/>
          <w:szCs w:val="24"/>
        </w:rPr>
        <w:t>（二</w:t>
      </w:r>
      <w:r>
        <w:rPr>
          <w:rFonts w:hint="eastAsia" w:cs="宋体"/>
          <w:b/>
          <w:bCs/>
          <w:sz w:val="24"/>
          <w:szCs w:val="24"/>
          <w:highlight w:val="none"/>
        </w:rPr>
        <w:t>）</w:t>
      </w:r>
      <w:bookmarkEnd w:id="4"/>
      <w:r>
        <w:rPr>
          <w:rFonts w:hint="eastAsia" w:cs="宋体"/>
          <w:b/>
          <w:bCs/>
          <w:sz w:val="24"/>
          <w:szCs w:val="24"/>
          <w:highlight w:val="none"/>
        </w:rPr>
        <w:t>施工时间要求</w:t>
      </w:r>
    </w:p>
    <w:p w14:paraId="2ECB23EC">
      <w:pPr>
        <w:spacing w:line="440" w:lineRule="exact"/>
        <w:ind w:firstLine="480" w:firstLineChars="200"/>
        <w:rPr>
          <w:rFonts w:cs="宋体"/>
          <w:sz w:val="24"/>
          <w:szCs w:val="24"/>
          <w:highlight w:val="none"/>
        </w:rPr>
      </w:pPr>
      <w:r>
        <w:rPr>
          <w:rFonts w:hint="eastAsia" w:cs="宋体"/>
          <w:sz w:val="24"/>
          <w:szCs w:val="24"/>
          <w:highlight w:val="none"/>
        </w:rPr>
        <w:t>施工工期：合同签订之日起</w:t>
      </w:r>
      <w:r>
        <w:rPr>
          <w:rFonts w:hint="eastAsia" w:cs="宋体"/>
          <w:sz w:val="24"/>
          <w:szCs w:val="24"/>
          <w:highlight w:val="none"/>
          <w:lang w:val="en-US" w:eastAsia="zh-CN"/>
        </w:rPr>
        <w:t>60</w:t>
      </w:r>
      <w:r>
        <w:rPr>
          <w:rFonts w:hint="eastAsia" w:cs="宋体"/>
          <w:sz w:val="24"/>
          <w:szCs w:val="24"/>
          <w:highlight w:val="none"/>
          <w:lang w:eastAsia="zh-CN"/>
        </w:rPr>
        <w:t>日历日</w:t>
      </w:r>
      <w:r>
        <w:rPr>
          <w:rFonts w:hint="eastAsia" w:cs="宋体"/>
          <w:sz w:val="24"/>
          <w:szCs w:val="24"/>
          <w:highlight w:val="none"/>
        </w:rPr>
        <w:t>内完成。</w:t>
      </w:r>
    </w:p>
    <w:p w14:paraId="080FBC4C">
      <w:pPr>
        <w:spacing w:line="440" w:lineRule="exact"/>
        <w:ind w:firstLine="482" w:firstLineChars="200"/>
        <w:rPr>
          <w:rFonts w:cs="宋体"/>
          <w:b/>
          <w:bCs/>
          <w:sz w:val="24"/>
          <w:szCs w:val="24"/>
          <w:highlight w:val="none"/>
        </w:rPr>
      </w:pPr>
      <w:r>
        <w:rPr>
          <w:rFonts w:hint="eastAsia" w:cs="宋体"/>
          <w:b/>
          <w:bCs/>
          <w:sz w:val="24"/>
          <w:szCs w:val="24"/>
          <w:highlight w:val="none"/>
        </w:rPr>
        <w:t>（</w:t>
      </w:r>
      <w:r>
        <w:rPr>
          <w:rFonts w:hint="eastAsia" w:cs="宋体"/>
          <w:b/>
          <w:bCs/>
          <w:sz w:val="24"/>
          <w:szCs w:val="24"/>
          <w:highlight w:val="none"/>
          <w:lang w:val="en-US" w:eastAsia="zh-CN"/>
        </w:rPr>
        <w:t>三</w:t>
      </w:r>
      <w:r>
        <w:rPr>
          <w:rFonts w:hint="eastAsia" w:cs="宋体"/>
          <w:b/>
          <w:bCs/>
          <w:sz w:val="24"/>
          <w:szCs w:val="24"/>
          <w:highlight w:val="none"/>
        </w:rPr>
        <w:t>）验收标准</w:t>
      </w:r>
    </w:p>
    <w:p w14:paraId="63CF27A8">
      <w:pPr>
        <w:spacing w:line="440" w:lineRule="exact"/>
        <w:ind w:firstLine="480" w:firstLineChars="200"/>
        <w:rPr>
          <w:rFonts w:cs="宋体"/>
          <w:sz w:val="24"/>
          <w:szCs w:val="24"/>
        </w:rPr>
      </w:pPr>
      <w:r>
        <w:rPr>
          <w:rFonts w:hint="eastAsia" w:cs="宋体"/>
          <w:sz w:val="24"/>
          <w:szCs w:val="24"/>
        </w:rPr>
        <w:t>项目完工后，采购人按相关规定进行项目验收，成交供应商应向采购人提供详细的验收手册和技术资料文档，并确保相关设备运行稳定，无故障，数据资料无错误。</w:t>
      </w:r>
      <w:r>
        <w:rPr>
          <w:rFonts w:hint="eastAsia" w:ascii="宋体" w:hAnsi="宋体" w:cs="宋体"/>
          <w:sz w:val="24"/>
          <w:szCs w:val="24"/>
        </w:rPr>
        <w:t>建设工程承包单位在向建设单位提交工程竣工验收报告时，应当向建设单位出具质量保修书。质量保修书中应当明确建设工程的保修范围、保修期限和保修责任等。具体的保修范围和最低保修期限必须符合国家法律法规的规定。</w:t>
      </w:r>
    </w:p>
    <w:p w14:paraId="51BFD4FE">
      <w:pPr>
        <w:spacing w:line="440" w:lineRule="exact"/>
        <w:ind w:firstLine="482" w:firstLineChars="200"/>
        <w:rPr>
          <w:rFonts w:cs="宋体"/>
          <w:sz w:val="24"/>
          <w:szCs w:val="24"/>
        </w:rPr>
      </w:pPr>
      <w:r>
        <w:rPr>
          <w:rFonts w:hint="eastAsia" w:cs="宋体"/>
          <w:b/>
          <w:bCs/>
          <w:sz w:val="24"/>
          <w:szCs w:val="24"/>
        </w:rPr>
        <w:t>（</w:t>
      </w:r>
      <w:r>
        <w:rPr>
          <w:rFonts w:hint="eastAsia" w:cs="宋体"/>
          <w:b/>
          <w:bCs/>
          <w:sz w:val="24"/>
          <w:szCs w:val="24"/>
          <w:lang w:val="en-US" w:eastAsia="zh-CN"/>
        </w:rPr>
        <w:t>四</w:t>
      </w:r>
      <w:r>
        <w:rPr>
          <w:rFonts w:hint="eastAsia" w:cs="宋体"/>
          <w:b/>
          <w:bCs/>
          <w:sz w:val="24"/>
          <w:szCs w:val="24"/>
        </w:rPr>
        <w:t>）验收文件的签署</w:t>
      </w:r>
    </w:p>
    <w:p w14:paraId="571B3E77">
      <w:pPr>
        <w:spacing w:line="440" w:lineRule="exact"/>
        <w:ind w:firstLine="480" w:firstLineChars="200"/>
        <w:rPr>
          <w:rFonts w:cs="宋体"/>
          <w:sz w:val="24"/>
          <w:szCs w:val="24"/>
        </w:rPr>
      </w:pPr>
      <w:r>
        <w:rPr>
          <w:rFonts w:hint="eastAsia" w:cs="宋体"/>
          <w:sz w:val="24"/>
          <w:szCs w:val="24"/>
        </w:rPr>
        <w:t>由成交供应商撰写完成报告，由采购人委派的负责人在审核后签署。</w:t>
      </w:r>
    </w:p>
    <w:p w14:paraId="744C38B1">
      <w:pPr>
        <w:spacing w:line="440" w:lineRule="exact"/>
        <w:ind w:firstLine="482" w:firstLineChars="200"/>
        <w:rPr>
          <w:rFonts w:cs="宋体"/>
          <w:sz w:val="24"/>
          <w:szCs w:val="24"/>
        </w:rPr>
      </w:pPr>
      <w:r>
        <w:rPr>
          <w:rFonts w:hint="eastAsia" w:cs="宋体"/>
          <w:b/>
          <w:bCs/>
          <w:sz w:val="24"/>
          <w:szCs w:val="24"/>
        </w:rPr>
        <w:t>（</w:t>
      </w:r>
      <w:r>
        <w:rPr>
          <w:rFonts w:hint="eastAsia" w:cs="宋体"/>
          <w:b/>
          <w:bCs/>
          <w:sz w:val="24"/>
          <w:szCs w:val="24"/>
          <w:lang w:val="en-US" w:eastAsia="zh-CN"/>
        </w:rPr>
        <w:t>五</w:t>
      </w:r>
      <w:r>
        <w:rPr>
          <w:rFonts w:hint="eastAsia" w:cs="宋体"/>
          <w:b/>
          <w:bCs/>
          <w:sz w:val="24"/>
          <w:szCs w:val="24"/>
        </w:rPr>
        <w:t>）工程款结算办法</w:t>
      </w:r>
    </w:p>
    <w:p w14:paraId="739C9833">
      <w:pPr>
        <w:spacing w:line="440" w:lineRule="exact"/>
        <w:ind w:firstLine="480" w:firstLineChars="200"/>
        <w:rPr>
          <w:rFonts w:cs="宋体"/>
          <w:sz w:val="24"/>
          <w:szCs w:val="24"/>
        </w:rPr>
      </w:pPr>
      <w:r>
        <w:rPr>
          <w:rFonts w:hint="eastAsia" w:cs="宋体"/>
          <w:sz w:val="24"/>
          <w:szCs w:val="24"/>
        </w:rPr>
        <w:t xml:space="preserve">由采购人与成交供应商在施工合同中另行约定。            </w:t>
      </w:r>
    </w:p>
    <w:p w14:paraId="1F4B8263">
      <w:pPr>
        <w:spacing w:line="440" w:lineRule="exact"/>
        <w:ind w:firstLine="482" w:firstLineChars="200"/>
        <w:rPr>
          <w:rFonts w:cs="宋体"/>
          <w:sz w:val="24"/>
          <w:szCs w:val="24"/>
        </w:rPr>
      </w:pPr>
      <w:r>
        <w:rPr>
          <w:rFonts w:hint="eastAsia" w:cs="宋体"/>
          <w:b/>
          <w:bCs/>
          <w:sz w:val="24"/>
          <w:szCs w:val="24"/>
        </w:rPr>
        <w:t>（</w:t>
      </w:r>
      <w:r>
        <w:rPr>
          <w:rFonts w:hint="eastAsia" w:cs="宋体"/>
          <w:b/>
          <w:bCs/>
          <w:sz w:val="24"/>
          <w:szCs w:val="24"/>
          <w:lang w:val="en-US" w:eastAsia="zh-CN"/>
        </w:rPr>
        <w:t>六</w:t>
      </w:r>
      <w:r>
        <w:rPr>
          <w:rFonts w:hint="eastAsia" w:cs="宋体"/>
          <w:b/>
          <w:bCs/>
          <w:sz w:val="24"/>
          <w:szCs w:val="24"/>
        </w:rPr>
        <w:t>）其他要求</w:t>
      </w:r>
    </w:p>
    <w:p w14:paraId="2680478D">
      <w:pPr>
        <w:spacing w:line="440" w:lineRule="exact"/>
        <w:ind w:firstLine="480" w:firstLineChars="200"/>
        <w:rPr>
          <w:rFonts w:cs="宋体"/>
          <w:sz w:val="24"/>
          <w:szCs w:val="24"/>
        </w:rPr>
      </w:pPr>
      <w:r>
        <w:rPr>
          <w:rFonts w:hint="eastAsia" w:cs="宋体"/>
          <w:sz w:val="24"/>
          <w:szCs w:val="24"/>
        </w:rPr>
        <w:t>1.合同签订：本次采购合同由采购人与成交供应商签订。</w:t>
      </w:r>
    </w:p>
    <w:p w14:paraId="771CB633">
      <w:pPr>
        <w:spacing w:line="440" w:lineRule="exact"/>
        <w:ind w:firstLine="480" w:firstLineChars="200"/>
        <w:rPr>
          <w:rFonts w:cs="宋体"/>
          <w:sz w:val="24"/>
          <w:szCs w:val="24"/>
        </w:rPr>
      </w:pPr>
      <w:r>
        <w:rPr>
          <w:rFonts w:hint="eastAsia" w:cs="宋体"/>
          <w:sz w:val="24"/>
          <w:szCs w:val="24"/>
        </w:rPr>
        <w:t>2.成交供应商应建立健全使用、维护联系电话，确保服务联系电话24小时畅通。</w:t>
      </w:r>
    </w:p>
    <w:p w14:paraId="326785FD">
      <w:pPr>
        <w:spacing w:line="440" w:lineRule="exact"/>
        <w:ind w:firstLine="480" w:firstLineChars="200"/>
        <w:rPr>
          <w:rFonts w:cs="宋体"/>
          <w:sz w:val="24"/>
          <w:szCs w:val="24"/>
        </w:rPr>
      </w:pPr>
      <w:r>
        <w:rPr>
          <w:rFonts w:hint="eastAsia" w:cs="宋体"/>
          <w:sz w:val="24"/>
          <w:szCs w:val="24"/>
        </w:rPr>
        <w:t>3.违约条款及处理方式详见合同约定。</w:t>
      </w:r>
    </w:p>
    <w:p w14:paraId="4FC14FEA">
      <w:pPr>
        <w:spacing w:line="440" w:lineRule="exact"/>
        <w:ind w:firstLine="480" w:firstLineChars="200"/>
        <w:rPr>
          <w:rFonts w:cs="宋体"/>
          <w:sz w:val="24"/>
          <w:szCs w:val="24"/>
        </w:rPr>
      </w:pPr>
      <w:r>
        <w:rPr>
          <w:rFonts w:hint="eastAsia" w:cs="宋体"/>
          <w:sz w:val="24"/>
          <w:szCs w:val="24"/>
        </w:rPr>
        <w:t>4.合同争议解决：如果在履行合同过程中发生争议，双方协商解决，协商不成，双方同意向合同签署地仲裁委提出仲裁申请，一裁终局。</w:t>
      </w:r>
    </w:p>
    <w:p w14:paraId="6DCD308F">
      <w:pPr>
        <w:adjustRightInd w:val="0"/>
        <w:snapToGrid w:val="0"/>
        <w:spacing w:line="440" w:lineRule="exact"/>
        <w:ind w:firstLine="482" w:firstLineChars="200"/>
        <w:rPr>
          <w:rFonts w:ascii="黑体" w:hAnsi="黑体" w:eastAsia="黑体" w:cs="黑体"/>
          <w:b/>
          <w:bCs/>
          <w:sz w:val="24"/>
          <w:szCs w:val="24"/>
        </w:rPr>
      </w:pPr>
      <w:r>
        <w:rPr>
          <w:rFonts w:hint="eastAsia" w:ascii="黑体" w:hAnsi="黑体" w:eastAsia="黑体" w:cs="黑体"/>
          <w:b/>
          <w:bCs/>
          <w:sz w:val="24"/>
          <w:szCs w:val="24"/>
        </w:rPr>
        <w:t>四、项目技术要求</w:t>
      </w:r>
    </w:p>
    <w:p w14:paraId="6D0B98C8">
      <w:pPr>
        <w:spacing w:line="440" w:lineRule="exact"/>
        <w:ind w:firstLine="480" w:firstLineChars="200"/>
        <w:rPr>
          <w:rFonts w:cs="宋体"/>
          <w:sz w:val="24"/>
          <w:szCs w:val="24"/>
        </w:rPr>
      </w:pPr>
      <w:bookmarkStart w:id="5" w:name="_Toc446167995"/>
      <w:bookmarkStart w:id="6" w:name="_Toc458598781"/>
      <w:bookmarkStart w:id="7" w:name="_Toc22380"/>
      <w:bookmarkStart w:id="8" w:name="_Toc17281"/>
      <w:bookmarkStart w:id="9" w:name="_Toc9309"/>
      <w:bookmarkStart w:id="10" w:name="_Toc25928"/>
      <w:r>
        <w:rPr>
          <w:rFonts w:hint="eastAsia" w:cs="宋体"/>
          <w:sz w:val="24"/>
          <w:szCs w:val="24"/>
        </w:rPr>
        <w:t>（一）项目</w:t>
      </w:r>
      <w:bookmarkEnd w:id="5"/>
      <w:r>
        <w:rPr>
          <w:rFonts w:hint="eastAsia" w:cs="宋体"/>
          <w:sz w:val="24"/>
          <w:szCs w:val="24"/>
        </w:rPr>
        <w:t>实施</w:t>
      </w:r>
      <w:bookmarkEnd w:id="6"/>
      <w:r>
        <w:rPr>
          <w:rFonts w:hint="eastAsia" w:cs="宋体"/>
          <w:sz w:val="24"/>
          <w:szCs w:val="24"/>
        </w:rPr>
        <w:t>要求</w:t>
      </w:r>
      <w:bookmarkEnd w:id="7"/>
      <w:bookmarkEnd w:id="8"/>
      <w:bookmarkEnd w:id="9"/>
      <w:bookmarkEnd w:id="10"/>
    </w:p>
    <w:p w14:paraId="11CC3E28">
      <w:pPr>
        <w:spacing w:line="440" w:lineRule="exact"/>
        <w:ind w:firstLine="480" w:firstLineChars="200"/>
        <w:rPr>
          <w:rFonts w:cs="宋体"/>
          <w:sz w:val="24"/>
          <w:szCs w:val="24"/>
        </w:rPr>
      </w:pPr>
      <w:r>
        <w:rPr>
          <w:rFonts w:hint="eastAsia" w:cs="宋体"/>
          <w:sz w:val="24"/>
          <w:szCs w:val="24"/>
        </w:rPr>
        <w:t>1.供应商应派驻具有一定资质能力水平、数量充足的技术人员组成项目小组对本项目进行实施及服务。</w:t>
      </w:r>
    </w:p>
    <w:p w14:paraId="6C876ACA">
      <w:pPr>
        <w:spacing w:line="440" w:lineRule="exact"/>
        <w:ind w:firstLine="480" w:firstLineChars="200"/>
        <w:rPr>
          <w:rFonts w:cs="宋体"/>
          <w:sz w:val="24"/>
          <w:szCs w:val="24"/>
        </w:rPr>
      </w:pPr>
      <w:r>
        <w:rPr>
          <w:rFonts w:hint="eastAsia" w:cs="宋体"/>
          <w:sz w:val="24"/>
          <w:szCs w:val="24"/>
        </w:rPr>
        <w:t>2.本项目需在签订项目合同后根据施工条件、按照招标清单和施工图纸及时完成所有建设内容的铺设、安装、调试等工作。供应商需提供详细具体的项目实施管理方案和实施计划，保障本项目按时按质交付。</w:t>
      </w:r>
    </w:p>
    <w:p w14:paraId="54367A60">
      <w:pPr>
        <w:spacing w:line="440" w:lineRule="exact"/>
        <w:ind w:firstLine="480" w:firstLineChars="200"/>
        <w:rPr>
          <w:rFonts w:cs="宋体"/>
          <w:sz w:val="24"/>
          <w:szCs w:val="24"/>
        </w:rPr>
      </w:pPr>
      <w:r>
        <w:rPr>
          <w:rFonts w:hint="eastAsia" w:cs="宋体"/>
          <w:sz w:val="24"/>
          <w:szCs w:val="24"/>
        </w:rPr>
        <w:t>3.供应商在报价时，请清晰标明所投产品的品牌（或生产厂家）以及参数配置，以保障本项目的顺利实施。</w:t>
      </w:r>
    </w:p>
    <w:p w14:paraId="5439FD87">
      <w:pPr>
        <w:spacing w:line="440" w:lineRule="exact"/>
        <w:ind w:firstLine="480" w:firstLineChars="200"/>
        <w:rPr>
          <w:rFonts w:cs="宋体"/>
          <w:sz w:val="24"/>
          <w:szCs w:val="24"/>
        </w:rPr>
      </w:pPr>
      <w:r>
        <w:rPr>
          <w:rFonts w:hint="eastAsia" w:cs="宋体"/>
          <w:sz w:val="24"/>
          <w:szCs w:val="24"/>
        </w:rPr>
        <w:t>4.本项目清单中，若有主、辅材规格型号不够明确或标注不规范的，供应商可按实际需求（以满足完成该工程实际需求为准），标注规格型号，并与采购人沟通。未注明的规格应符合国家有关行业标准。</w:t>
      </w:r>
    </w:p>
    <w:p w14:paraId="702F7697">
      <w:pPr>
        <w:spacing w:line="440" w:lineRule="exact"/>
        <w:ind w:firstLine="480" w:firstLineChars="200"/>
        <w:rPr>
          <w:rFonts w:cs="宋体"/>
          <w:sz w:val="24"/>
          <w:szCs w:val="24"/>
        </w:rPr>
      </w:pPr>
      <w:r>
        <w:rPr>
          <w:rFonts w:hint="eastAsia" w:cs="宋体"/>
          <w:sz w:val="24"/>
          <w:szCs w:val="24"/>
        </w:rPr>
        <w:t>5.企业制定的施工方案、物资计划、施工机械、劳动力安排计划、安全生产措施、工程质量组织措施、工期组织措施等措施详细可行、施工进度安排合理。</w:t>
      </w:r>
    </w:p>
    <w:p w14:paraId="0A2CF5A4">
      <w:pPr>
        <w:spacing w:line="440" w:lineRule="exact"/>
        <w:ind w:firstLine="480" w:firstLineChars="200"/>
        <w:rPr>
          <w:rFonts w:cs="宋体"/>
          <w:sz w:val="24"/>
          <w:szCs w:val="24"/>
        </w:rPr>
      </w:pPr>
      <w:r>
        <w:rPr>
          <w:rFonts w:hint="eastAsia" w:cs="宋体"/>
          <w:sz w:val="24"/>
          <w:szCs w:val="24"/>
        </w:rPr>
        <w:t>（二）材料供应办法</w:t>
      </w:r>
    </w:p>
    <w:p w14:paraId="33859BA6">
      <w:pPr>
        <w:spacing w:line="400" w:lineRule="exact"/>
        <w:ind w:firstLine="480" w:firstLineChars="200"/>
        <w:rPr>
          <w:rFonts w:cs="宋体"/>
          <w:sz w:val="24"/>
          <w:szCs w:val="24"/>
        </w:rPr>
      </w:pPr>
      <w:r>
        <w:rPr>
          <w:rFonts w:hint="eastAsia" w:cs="宋体"/>
          <w:sz w:val="24"/>
          <w:szCs w:val="24"/>
        </w:rPr>
        <w:t>1.成交供应商必须按照本工程项目设计施工图纸进行施工。要有良好的质量管控措施、环保措施，确保文明施工、安全施工。</w:t>
      </w:r>
    </w:p>
    <w:p w14:paraId="4A3339D8">
      <w:pPr>
        <w:spacing w:line="400" w:lineRule="exact"/>
        <w:ind w:firstLine="480" w:firstLineChars="200"/>
        <w:rPr>
          <w:rFonts w:cs="宋体"/>
          <w:sz w:val="24"/>
          <w:szCs w:val="24"/>
        </w:rPr>
      </w:pPr>
      <w:r>
        <w:rPr>
          <w:rFonts w:hint="eastAsia" w:cs="宋体"/>
          <w:sz w:val="24"/>
          <w:szCs w:val="24"/>
        </w:rPr>
        <w:t>2.落实国家节能、环保政策。成交供应商应优先使用节能、环保产品。所使用的材料必须符合国家环保节能产品要求，必须无毒无害、无刺激性异味、无放射性。</w:t>
      </w:r>
    </w:p>
    <w:p w14:paraId="0238C20A">
      <w:pPr>
        <w:spacing w:line="400" w:lineRule="exact"/>
        <w:ind w:firstLine="480" w:firstLineChars="200"/>
        <w:rPr>
          <w:rFonts w:cs="宋体"/>
          <w:sz w:val="24"/>
          <w:szCs w:val="24"/>
        </w:rPr>
      </w:pPr>
      <w:r>
        <w:rPr>
          <w:rFonts w:hint="eastAsia" w:cs="宋体"/>
          <w:sz w:val="24"/>
          <w:szCs w:val="24"/>
        </w:rPr>
        <w:t>3.所使用的材料必须符合国家质量标准。</w:t>
      </w:r>
    </w:p>
    <w:p w14:paraId="5ECF712C">
      <w:pPr>
        <w:spacing w:line="400" w:lineRule="exact"/>
        <w:ind w:firstLine="480" w:firstLineChars="200"/>
        <w:rPr>
          <w:rFonts w:cs="宋体"/>
          <w:sz w:val="24"/>
          <w:szCs w:val="24"/>
        </w:rPr>
      </w:pPr>
      <w:r>
        <w:rPr>
          <w:rFonts w:hint="eastAsia" w:cs="宋体"/>
          <w:sz w:val="24"/>
          <w:szCs w:val="24"/>
        </w:rPr>
        <w:t>4.材料清单中涉及下列技术指标须满足GB36246-2018《中小学合成材料面层运动场地》：</w:t>
      </w:r>
    </w:p>
    <w:p w14:paraId="6636A53F">
      <w:pPr>
        <w:spacing w:line="400" w:lineRule="exact"/>
        <w:ind w:firstLine="480" w:firstLineChars="200"/>
        <w:rPr>
          <w:rFonts w:ascii="宋体" w:hAnsi="宋体" w:cs="宋体"/>
          <w:kern w:val="0"/>
          <w:sz w:val="28"/>
          <w:szCs w:val="28"/>
        </w:rPr>
      </w:pPr>
      <w:r>
        <w:rPr>
          <w:rFonts w:hint="eastAsia" w:cs="宋体"/>
          <w:sz w:val="24"/>
          <w:szCs w:val="24"/>
        </w:rPr>
        <w:t>（1）面层成品中有害物质及气味要求</w:t>
      </w:r>
    </w:p>
    <w:p w14:paraId="65003CCB">
      <w:pPr>
        <w:pStyle w:val="4"/>
      </w:pPr>
      <w:r>
        <w:rPr>
          <w:rFonts w:hint="eastAsia"/>
        </w:rPr>
        <w:drawing>
          <wp:inline distT="0" distB="0" distL="114300" distR="114300">
            <wp:extent cx="5271135" cy="2966720"/>
            <wp:effectExtent l="0" t="0" r="12065" b="5080"/>
            <wp:docPr id="1" name="图片 1" descr="166002727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0027274045"/>
                    <pic:cNvPicPr>
                      <a:picLocks noChangeAspect="1"/>
                    </pic:cNvPicPr>
                  </pic:nvPicPr>
                  <pic:blipFill>
                    <a:blip r:embed="rId4"/>
                    <a:stretch>
                      <a:fillRect/>
                    </a:stretch>
                  </pic:blipFill>
                  <pic:spPr>
                    <a:xfrm>
                      <a:off x="0" y="0"/>
                      <a:ext cx="5271135" cy="2966720"/>
                    </a:xfrm>
                    <a:prstGeom prst="rect">
                      <a:avLst/>
                    </a:prstGeom>
                  </pic:spPr>
                </pic:pic>
              </a:graphicData>
            </a:graphic>
          </wp:inline>
        </w:drawing>
      </w:r>
    </w:p>
    <w:p w14:paraId="08373162">
      <w:pPr>
        <w:pStyle w:val="4"/>
      </w:pPr>
      <w:r>
        <w:rPr>
          <w:rFonts w:hint="eastAsia"/>
        </w:rPr>
        <w:drawing>
          <wp:inline distT="0" distB="0" distL="114300" distR="114300">
            <wp:extent cx="5272405" cy="2048510"/>
            <wp:effectExtent l="0" t="0" r="10795" b="8890"/>
            <wp:docPr id="2" name="图片 2" descr="166002729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0027299843"/>
                    <pic:cNvPicPr>
                      <a:picLocks noChangeAspect="1"/>
                    </pic:cNvPicPr>
                  </pic:nvPicPr>
                  <pic:blipFill>
                    <a:blip r:embed="rId5"/>
                    <a:stretch>
                      <a:fillRect/>
                    </a:stretch>
                  </pic:blipFill>
                  <pic:spPr>
                    <a:xfrm>
                      <a:off x="0" y="0"/>
                      <a:ext cx="5272405" cy="2048510"/>
                    </a:xfrm>
                    <a:prstGeom prst="rect">
                      <a:avLst/>
                    </a:prstGeom>
                  </pic:spPr>
                </pic:pic>
              </a:graphicData>
            </a:graphic>
          </wp:inline>
        </w:drawing>
      </w:r>
    </w:p>
    <w:p w14:paraId="5C3011FF">
      <w:pPr>
        <w:spacing w:line="400" w:lineRule="exact"/>
        <w:ind w:firstLine="480" w:firstLineChars="200"/>
        <w:rPr>
          <w:rFonts w:cs="宋体"/>
          <w:sz w:val="24"/>
          <w:szCs w:val="24"/>
        </w:rPr>
      </w:pPr>
      <w:r>
        <w:rPr>
          <w:rFonts w:hint="eastAsia" w:cs="宋体"/>
          <w:sz w:val="24"/>
          <w:szCs w:val="24"/>
        </w:rPr>
        <w:t>（2）人造草面层成品中有害物质限量要求</w:t>
      </w:r>
    </w:p>
    <w:p w14:paraId="35C59FEF">
      <w:pPr>
        <w:pStyle w:val="7"/>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宋体" w:hAnsi="宋体" w:cs="宋体"/>
          <w:kern w:val="0"/>
          <w:sz w:val="28"/>
          <w:szCs w:val="28"/>
        </w:rPr>
      </w:pPr>
      <w:r>
        <w:rPr>
          <w:rFonts w:hint="eastAsia" w:ascii="宋体" w:hAnsi="宋体" w:cs="宋体"/>
          <w:kern w:val="0"/>
          <w:sz w:val="28"/>
          <w:szCs w:val="28"/>
        </w:rPr>
        <w:drawing>
          <wp:inline distT="0" distB="0" distL="114300" distR="114300">
            <wp:extent cx="5378450" cy="3088640"/>
            <wp:effectExtent l="0" t="0" r="6350" b="10160"/>
            <wp:docPr id="4" name="图片 4" descr="166002731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0027310359"/>
                    <pic:cNvPicPr>
                      <a:picLocks noChangeAspect="1"/>
                    </pic:cNvPicPr>
                  </pic:nvPicPr>
                  <pic:blipFill>
                    <a:blip r:embed="rId6"/>
                    <a:stretch>
                      <a:fillRect/>
                    </a:stretch>
                  </pic:blipFill>
                  <pic:spPr>
                    <a:xfrm>
                      <a:off x="0" y="0"/>
                      <a:ext cx="5378450" cy="3088640"/>
                    </a:xfrm>
                    <a:prstGeom prst="rect">
                      <a:avLst/>
                    </a:prstGeom>
                  </pic:spPr>
                </pic:pic>
              </a:graphicData>
            </a:graphic>
          </wp:inline>
        </w:drawing>
      </w:r>
      <w:r>
        <w:rPr>
          <w:rFonts w:hint="eastAsia" w:ascii="宋体" w:hAnsi="宋体" w:cs="宋体"/>
          <w:kern w:val="0"/>
          <w:sz w:val="28"/>
          <w:szCs w:val="28"/>
        </w:rPr>
        <w:drawing>
          <wp:inline distT="0" distB="0" distL="114300" distR="114300">
            <wp:extent cx="5650865" cy="3088640"/>
            <wp:effectExtent l="0" t="0" r="13335" b="10160"/>
            <wp:docPr id="51" name="图片 4" descr="166002731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descr="1660027310359"/>
                    <pic:cNvPicPr>
                      <a:picLocks noChangeAspect="1"/>
                    </pic:cNvPicPr>
                  </pic:nvPicPr>
                  <pic:blipFill>
                    <a:blip r:embed="rId6"/>
                    <a:stretch>
                      <a:fillRect/>
                    </a:stretch>
                  </pic:blipFill>
                  <pic:spPr>
                    <a:xfrm>
                      <a:off x="0" y="0"/>
                      <a:ext cx="5650865" cy="3088640"/>
                    </a:xfrm>
                    <a:prstGeom prst="rect">
                      <a:avLst/>
                    </a:prstGeom>
                  </pic:spPr>
                </pic:pic>
              </a:graphicData>
            </a:graphic>
          </wp:inline>
        </w:drawing>
      </w:r>
    </w:p>
    <w:p w14:paraId="66D6D727">
      <w:pPr>
        <w:spacing w:line="400" w:lineRule="exact"/>
        <w:ind w:firstLine="480" w:firstLineChars="200"/>
        <w:rPr>
          <w:rFonts w:cs="宋体"/>
          <w:sz w:val="24"/>
          <w:szCs w:val="24"/>
        </w:rPr>
      </w:pPr>
      <w:r>
        <w:rPr>
          <w:rFonts w:hint="eastAsia" w:cs="宋体"/>
          <w:sz w:val="24"/>
          <w:szCs w:val="24"/>
        </w:rPr>
        <w:t>（3）面层厚度要求：</w:t>
      </w:r>
    </w:p>
    <w:p w14:paraId="4431D3A2">
      <w:pPr>
        <w:pStyle w:val="7"/>
        <w:ind w:firstLine="0" w:firstLineChars="0"/>
        <w:rPr>
          <w:rFonts w:ascii="宋体" w:hAnsi="宋体" w:cs="宋体"/>
          <w:kern w:val="0"/>
          <w:sz w:val="28"/>
          <w:szCs w:val="28"/>
        </w:rPr>
      </w:pPr>
      <w:r>
        <w:rPr>
          <w:rFonts w:ascii="宋体" w:hAnsi="宋体" w:cs="宋体"/>
          <w:kern w:val="0"/>
          <w:sz w:val="28"/>
          <w:szCs w:val="28"/>
        </w:rPr>
        <w:drawing>
          <wp:inline distT="0" distB="0" distL="0" distR="0">
            <wp:extent cx="5278120" cy="1403985"/>
            <wp:effectExtent l="0" t="0" r="5080" b="18415"/>
            <wp:docPr id="5" name="图片 2" descr="QQ图片20240624203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QQ图片20240624203624.png"/>
                    <pic:cNvPicPr>
                      <a:picLocks noChangeAspect="1"/>
                    </pic:cNvPicPr>
                  </pic:nvPicPr>
                  <pic:blipFill>
                    <a:blip r:embed="rId7"/>
                    <a:stretch>
                      <a:fillRect/>
                    </a:stretch>
                  </pic:blipFill>
                  <pic:spPr>
                    <a:xfrm>
                      <a:off x="0" y="0"/>
                      <a:ext cx="5278120" cy="1403985"/>
                    </a:xfrm>
                    <a:prstGeom prst="rect">
                      <a:avLst/>
                    </a:prstGeom>
                  </pic:spPr>
                </pic:pic>
              </a:graphicData>
            </a:graphic>
          </wp:inline>
        </w:drawing>
      </w:r>
    </w:p>
    <w:p w14:paraId="1C027B21">
      <w:pPr>
        <w:spacing w:line="400" w:lineRule="exact"/>
        <w:ind w:firstLine="480" w:firstLineChars="200"/>
        <w:rPr>
          <w:rFonts w:cs="宋体"/>
          <w:sz w:val="24"/>
          <w:szCs w:val="24"/>
        </w:rPr>
      </w:pPr>
      <w:r>
        <w:rPr>
          <w:rFonts w:hint="eastAsia" w:cs="宋体"/>
          <w:sz w:val="24"/>
          <w:szCs w:val="24"/>
        </w:rPr>
        <w:t>（4）物理机械性能要求</w:t>
      </w:r>
    </w:p>
    <w:p w14:paraId="1B4417D1">
      <w:pPr>
        <w:pStyle w:val="7"/>
        <w:ind w:firstLine="0" w:firstLineChars="0"/>
        <w:rPr>
          <w:rFonts w:ascii="宋体" w:hAnsi="宋体" w:cs="宋体"/>
          <w:kern w:val="0"/>
          <w:sz w:val="28"/>
          <w:szCs w:val="28"/>
        </w:rPr>
      </w:pPr>
      <w:r>
        <w:rPr>
          <w:rFonts w:hint="eastAsia" w:ascii="宋体" w:hAnsi="宋体" w:cs="宋体"/>
          <w:kern w:val="0"/>
          <w:sz w:val="28"/>
          <w:szCs w:val="28"/>
        </w:rPr>
        <w:drawing>
          <wp:inline distT="0" distB="0" distL="114300" distR="114300">
            <wp:extent cx="5272405" cy="2562225"/>
            <wp:effectExtent l="0" t="0" r="10795" b="3175"/>
            <wp:docPr id="53" name="图片 6" descr="166002742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 descr="1660027421585"/>
                    <pic:cNvPicPr>
                      <a:picLocks noChangeAspect="1"/>
                    </pic:cNvPicPr>
                  </pic:nvPicPr>
                  <pic:blipFill>
                    <a:blip r:embed="rId8"/>
                    <a:stretch>
                      <a:fillRect/>
                    </a:stretch>
                  </pic:blipFill>
                  <pic:spPr>
                    <a:xfrm>
                      <a:off x="0" y="0"/>
                      <a:ext cx="5272405" cy="2562225"/>
                    </a:xfrm>
                    <a:prstGeom prst="rect">
                      <a:avLst/>
                    </a:prstGeom>
                  </pic:spPr>
                </pic:pic>
              </a:graphicData>
            </a:graphic>
          </wp:inline>
        </w:drawing>
      </w:r>
    </w:p>
    <w:p w14:paraId="6A8FFD53">
      <w:pPr>
        <w:spacing w:line="400" w:lineRule="exact"/>
        <w:ind w:firstLine="480" w:firstLineChars="200"/>
        <w:rPr>
          <w:rFonts w:cs="宋体"/>
          <w:sz w:val="24"/>
          <w:szCs w:val="24"/>
        </w:rPr>
      </w:pPr>
      <w:r>
        <w:rPr>
          <w:rFonts w:hint="eastAsia" w:cs="宋体"/>
          <w:sz w:val="24"/>
          <w:szCs w:val="24"/>
        </w:rPr>
        <w:t>（5）人造草面层成品及草丝的物理机械性能要求</w:t>
      </w:r>
    </w:p>
    <w:p w14:paraId="19AA9126">
      <w:pPr>
        <w:pStyle w:val="7"/>
        <w:ind w:firstLine="0" w:firstLineChars="0"/>
        <w:rPr>
          <w:rFonts w:ascii="宋体" w:hAnsi="宋体" w:cs="宋体"/>
          <w:kern w:val="0"/>
          <w:sz w:val="28"/>
          <w:szCs w:val="28"/>
        </w:rPr>
      </w:pPr>
      <w:r>
        <w:rPr>
          <w:rFonts w:ascii="宋体" w:hAnsi="宋体" w:cs="宋体"/>
          <w:kern w:val="0"/>
          <w:sz w:val="28"/>
          <w:szCs w:val="28"/>
        </w:rPr>
        <w:drawing>
          <wp:inline distT="0" distB="0" distL="114300" distR="114300">
            <wp:extent cx="5270500" cy="1333500"/>
            <wp:effectExtent l="0" t="0" r="12700" b="12700"/>
            <wp:docPr id="54" name="图片 7" descr="166002752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 descr="1660027526564"/>
                    <pic:cNvPicPr>
                      <a:picLocks noChangeAspect="1"/>
                    </pic:cNvPicPr>
                  </pic:nvPicPr>
                  <pic:blipFill>
                    <a:blip r:embed="rId9"/>
                    <a:srcRect t="4848" b="10303"/>
                    <a:stretch>
                      <a:fillRect/>
                    </a:stretch>
                  </pic:blipFill>
                  <pic:spPr>
                    <a:xfrm>
                      <a:off x="0" y="0"/>
                      <a:ext cx="5270500" cy="1333500"/>
                    </a:xfrm>
                    <a:prstGeom prst="rect">
                      <a:avLst/>
                    </a:prstGeom>
                  </pic:spPr>
                </pic:pic>
              </a:graphicData>
            </a:graphic>
          </wp:inline>
        </w:drawing>
      </w:r>
    </w:p>
    <w:p w14:paraId="1DA402B3">
      <w:pPr>
        <w:spacing w:line="400" w:lineRule="exact"/>
        <w:ind w:firstLine="480" w:firstLineChars="200"/>
        <w:rPr>
          <w:rFonts w:cs="宋体"/>
          <w:sz w:val="24"/>
          <w:szCs w:val="24"/>
        </w:rPr>
      </w:pPr>
      <w:r>
        <w:rPr>
          <w:rFonts w:hint="eastAsia" w:cs="宋体"/>
          <w:sz w:val="24"/>
          <w:szCs w:val="24"/>
        </w:rPr>
        <w:t>（6）固体原料中有害物质限量及气味要求</w:t>
      </w:r>
    </w:p>
    <w:p w14:paraId="67A8854D">
      <w:pPr>
        <w:pStyle w:val="7"/>
        <w:ind w:firstLine="0" w:firstLineChars="0"/>
        <w:rPr>
          <w:rFonts w:ascii="宋体" w:hAnsi="宋体" w:cs="宋体"/>
          <w:kern w:val="0"/>
          <w:sz w:val="28"/>
          <w:szCs w:val="28"/>
        </w:rPr>
      </w:pPr>
      <w:r>
        <w:rPr>
          <w:rFonts w:hint="eastAsia" w:ascii="宋体" w:hAnsi="宋体" w:cs="宋体"/>
          <w:kern w:val="0"/>
          <w:sz w:val="28"/>
          <w:szCs w:val="28"/>
        </w:rPr>
        <w:drawing>
          <wp:inline distT="0" distB="0" distL="114300" distR="114300">
            <wp:extent cx="5272405" cy="2364740"/>
            <wp:effectExtent l="0" t="0" r="10795" b="22860"/>
            <wp:docPr id="55" name="图片 8" descr="166002756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 descr="1660027566644"/>
                    <pic:cNvPicPr>
                      <a:picLocks noChangeAspect="1"/>
                    </pic:cNvPicPr>
                  </pic:nvPicPr>
                  <pic:blipFill>
                    <a:blip r:embed="rId10"/>
                    <a:stretch>
                      <a:fillRect/>
                    </a:stretch>
                  </pic:blipFill>
                  <pic:spPr>
                    <a:xfrm>
                      <a:off x="0" y="0"/>
                      <a:ext cx="5272405" cy="2364740"/>
                    </a:xfrm>
                    <a:prstGeom prst="rect">
                      <a:avLst/>
                    </a:prstGeom>
                  </pic:spPr>
                </pic:pic>
              </a:graphicData>
            </a:graphic>
          </wp:inline>
        </w:drawing>
      </w:r>
    </w:p>
    <w:p w14:paraId="2E94543B">
      <w:pPr>
        <w:spacing w:line="400" w:lineRule="exact"/>
        <w:ind w:firstLine="480" w:firstLineChars="200"/>
        <w:rPr>
          <w:rFonts w:cs="宋体"/>
          <w:sz w:val="24"/>
          <w:szCs w:val="24"/>
        </w:rPr>
      </w:pPr>
      <w:r>
        <w:rPr>
          <w:rFonts w:hint="eastAsia" w:cs="宋体"/>
          <w:sz w:val="24"/>
          <w:szCs w:val="24"/>
        </w:rPr>
        <w:t>（7）非固体原料中有害物质限量要求</w:t>
      </w:r>
    </w:p>
    <w:p w14:paraId="473110FD">
      <w:pPr>
        <w:pStyle w:val="7"/>
        <w:ind w:firstLine="0" w:firstLineChars="0"/>
        <w:rPr>
          <w:rFonts w:ascii="宋体" w:hAnsi="宋体" w:cs="宋体"/>
          <w:kern w:val="0"/>
          <w:sz w:val="28"/>
          <w:szCs w:val="28"/>
        </w:rPr>
      </w:pPr>
      <w:r>
        <w:rPr>
          <w:rFonts w:hint="eastAsia" w:ascii="宋体" w:hAnsi="宋体" w:cs="宋体"/>
          <w:kern w:val="0"/>
          <w:sz w:val="28"/>
          <w:szCs w:val="28"/>
        </w:rPr>
        <w:drawing>
          <wp:inline distT="0" distB="0" distL="114300" distR="114300">
            <wp:extent cx="5272405" cy="3517265"/>
            <wp:effectExtent l="0" t="0" r="10795" b="13335"/>
            <wp:docPr id="56" name="图片 9" descr="166002779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 descr="1660027795260"/>
                    <pic:cNvPicPr>
                      <a:picLocks noChangeAspect="1"/>
                    </pic:cNvPicPr>
                  </pic:nvPicPr>
                  <pic:blipFill>
                    <a:blip r:embed="rId11"/>
                    <a:stretch>
                      <a:fillRect/>
                    </a:stretch>
                  </pic:blipFill>
                  <pic:spPr>
                    <a:xfrm>
                      <a:off x="0" y="0"/>
                      <a:ext cx="5272405" cy="3517265"/>
                    </a:xfrm>
                    <a:prstGeom prst="rect">
                      <a:avLst/>
                    </a:prstGeom>
                  </pic:spPr>
                </pic:pic>
              </a:graphicData>
            </a:graphic>
          </wp:inline>
        </w:drawing>
      </w:r>
    </w:p>
    <w:p w14:paraId="7D603B09">
      <w:pPr>
        <w:spacing w:line="400" w:lineRule="exact"/>
        <w:ind w:firstLine="480" w:firstLineChars="200"/>
        <w:rPr>
          <w:rFonts w:cs="宋体"/>
          <w:sz w:val="24"/>
          <w:szCs w:val="24"/>
        </w:rPr>
      </w:pPr>
      <w:r>
        <w:rPr>
          <w:rFonts w:hint="eastAsia" w:cs="宋体"/>
          <w:sz w:val="24"/>
          <w:szCs w:val="24"/>
        </w:rPr>
        <w:t>全部技术指标必须符合包括但不限于下列规范：</w:t>
      </w:r>
    </w:p>
    <w:p w14:paraId="7E35312A">
      <w:pPr>
        <w:spacing w:line="400" w:lineRule="exact"/>
        <w:ind w:firstLine="480" w:firstLineChars="200"/>
        <w:rPr>
          <w:rFonts w:cs="宋体"/>
          <w:sz w:val="24"/>
          <w:szCs w:val="24"/>
        </w:rPr>
      </w:pPr>
      <w:r>
        <w:rPr>
          <w:rFonts w:hint="eastAsia" w:cs="宋体"/>
          <w:sz w:val="24"/>
          <w:szCs w:val="24"/>
        </w:rPr>
        <w:t>材料符合GB 36246-2018中小学合成材料面层运动场地非固体原料中有害物质限量要求。</w:t>
      </w:r>
    </w:p>
    <w:p w14:paraId="21C87CFA">
      <w:pPr>
        <w:spacing w:line="400" w:lineRule="exact"/>
        <w:ind w:firstLine="480" w:firstLineChars="200"/>
        <w:rPr>
          <w:rFonts w:cs="宋体"/>
          <w:sz w:val="24"/>
          <w:szCs w:val="24"/>
        </w:rPr>
      </w:pPr>
      <w:r>
        <w:rPr>
          <w:rFonts w:hint="eastAsia" w:cs="宋体"/>
          <w:sz w:val="24"/>
          <w:szCs w:val="24"/>
        </w:rPr>
        <w:t>《田径场地设施标准手册》（2008年版）</w:t>
      </w:r>
    </w:p>
    <w:p w14:paraId="2F3163BC">
      <w:pPr>
        <w:spacing w:line="400" w:lineRule="exact"/>
        <w:ind w:firstLine="480" w:firstLineChars="200"/>
        <w:rPr>
          <w:rFonts w:cs="宋体"/>
          <w:sz w:val="24"/>
          <w:szCs w:val="24"/>
        </w:rPr>
      </w:pPr>
      <w:r>
        <w:rPr>
          <w:rFonts w:hint="eastAsia" w:cs="宋体"/>
          <w:sz w:val="24"/>
          <w:szCs w:val="24"/>
        </w:rPr>
        <w:t>《中国田径协会》2018-2019  《田径竞赛规则》2018-2019</w:t>
      </w:r>
    </w:p>
    <w:p w14:paraId="254C3302">
      <w:pPr>
        <w:spacing w:line="400" w:lineRule="exact"/>
        <w:ind w:firstLine="480" w:firstLineChars="200"/>
        <w:rPr>
          <w:rFonts w:cs="宋体"/>
          <w:sz w:val="24"/>
          <w:szCs w:val="24"/>
        </w:rPr>
      </w:pPr>
      <w:r>
        <w:rPr>
          <w:rFonts w:hint="eastAsia" w:cs="宋体"/>
          <w:sz w:val="24"/>
          <w:szCs w:val="24"/>
        </w:rPr>
        <w:t>《中华人民共和国塑胶跑道标准》</w:t>
      </w:r>
    </w:p>
    <w:p w14:paraId="14BBCF7A">
      <w:pPr>
        <w:spacing w:line="400" w:lineRule="exact"/>
        <w:ind w:firstLine="480" w:firstLineChars="200"/>
        <w:rPr>
          <w:rFonts w:cs="宋体"/>
          <w:sz w:val="24"/>
          <w:szCs w:val="24"/>
        </w:rPr>
      </w:pPr>
      <w:r>
        <w:rPr>
          <w:rFonts w:hint="eastAsia" w:cs="宋体"/>
          <w:sz w:val="24"/>
          <w:szCs w:val="24"/>
        </w:rPr>
        <w:t>GB36246-2018《中小学合成材料面层运动场地》</w:t>
      </w:r>
    </w:p>
    <w:p w14:paraId="6161449B">
      <w:pPr>
        <w:spacing w:line="400" w:lineRule="exact"/>
        <w:ind w:firstLine="480" w:firstLineChars="200"/>
        <w:rPr>
          <w:rFonts w:cs="宋体"/>
          <w:sz w:val="24"/>
          <w:szCs w:val="24"/>
        </w:rPr>
      </w:pPr>
      <w:r>
        <w:rPr>
          <w:rFonts w:hint="eastAsia" w:cs="宋体"/>
          <w:sz w:val="24"/>
          <w:szCs w:val="24"/>
        </w:rPr>
        <w:t>《体育建筑设计规范》（GJ31-2003、J265-2003）其它与本工程相关的技术规范。</w:t>
      </w:r>
    </w:p>
    <w:p w14:paraId="65012CB5">
      <w:pPr>
        <w:spacing w:line="400" w:lineRule="exact"/>
        <w:ind w:firstLine="480" w:firstLineChars="200"/>
        <w:rPr>
          <w:rFonts w:cs="宋体"/>
          <w:sz w:val="24"/>
          <w:szCs w:val="24"/>
        </w:rPr>
      </w:pPr>
      <w:r>
        <w:rPr>
          <w:rFonts w:hint="eastAsia" w:cs="宋体"/>
          <w:sz w:val="24"/>
          <w:szCs w:val="24"/>
        </w:rPr>
        <w:t>如果国家有新的行业标准公布，则按新标准执行。</w:t>
      </w:r>
    </w:p>
    <w:p w14:paraId="7B272B84">
      <w:pPr>
        <w:spacing w:line="400" w:lineRule="exact"/>
        <w:ind w:firstLine="480" w:firstLineChars="200"/>
        <w:rPr>
          <w:rFonts w:cs="宋体"/>
          <w:sz w:val="24"/>
          <w:szCs w:val="24"/>
        </w:rPr>
      </w:pPr>
      <w:r>
        <w:rPr>
          <w:rFonts w:hint="eastAsia" w:cs="宋体"/>
          <w:sz w:val="24"/>
          <w:szCs w:val="24"/>
        </w:rPr>
        <w:t>4.工程验收过程中，采购人有权聘请第三方检测机构对环境进行有毒有害物质的定性定量检测，具体要求详见合同约定。</w:t>
      </w:r>
    </w:p>
    <w:p w14:paraId="061A6AC4">
      <w:pPr>
        <w:spacing w:line="440" w:lineRule="exact"/>
        <w:ind w:firstLine="482" w:firstLineChars="200"/>
        <w:rPr>
          <w:rFonts w:cs="宋体"/>
          <w:b/>
          <w:bCs/>
          <w:sz w:val="24"/>
          <w:szCs w:val="24"/>
        </w:rPr>
      </w:pPr>
      <w:r>
        <w:rPr>
          <w:rFonts w:hint="eastAsia" w:cs="宋体"/>
          <w:b/>
          <w:bCs/>
          <w:sz w:val="24"/>
          <w:szCs w:val="24"/>
        </w:rPr>
        <w:t>（三）工程建设质量及保修</w:t>
      </w:r>
    </w:p>
    <w:p w14:paraId="0C1D8702">
      <w:pPr>
        <w:spacing w:line="440" w:lineRule="exact"/>
        <w:ind w:firstLine="480" w:firstLineChars="200"/>
        <w:rPr>
          <w:rFonts w:cs="宋体"/>
          <w:sz w:val="24"/>
          <w:szCs w:val="24"/>
        </w:rPr>
      </w:pPr>
      <w:r>
        <w:rPr>
          <w:rFonts w:hint="eastAsia" w:cs="宋体"/>
          <w:sz w:val="24"/>
          <w:szCs w:val="24"/>
        </w:rPr>
        <w:t>1.质量要求：成交供应商应当遵守《建设工程质量管理条例》，必须按照国家现行施工规范进行施工，确保本工程质量必须完全满足中华人民共和国国家质量标准及现行规范要求，投标人应根据企业实际能力在响应文件中对工程质量予以承诺，中标后在合同中加以确认。</w:t>
      </w:r>
    </w:p>
    <w:p w14:paraId="3BB15674">
      <w:pPr>
        <w:spacing w:line="440" w:lineRule="exact"/>
        <w:ind w:firstLine="480" w:firstLineChars="200"/>
        <w:rPr>
          <w:rFonts w:cs="宋体"/>
          <w:sz w:val="24"/>
          <w:szCs w:val="24"/>
        </w:rPr>
      </w:pPr>
      <w:r>
        <w:rPr>
          <w:rFonts w:hint="eastAsia" w:cs="宋体"/>
          <w:sz w:val="24"/>
          <w:szCs w:val="24"/>
        </w:rPr>
        <w:t>2.本工程质量保修期：2年。质保期时间自工程最终验收合格双方签字并交付使用之日起算，并依照《建设工程质量管理条例》第六章相关条款执行。</w:t>
      </w:r>
    </w:p>
    <w:p w14:paraId="31A6E9E7">
      <w:pPr>
        <w:spacing w:line="440" w:lineRule="exact"/>
        <w:ind w:firstLine="480" w:firstLineChars="200"/>
        <w:rPr>
          <w:rFonts w:cs="宋体"/>
          <w:sz w:val="24"/>
          <w:szCs w:val="24"/>
        </w:rPr>
      </w:pPr>
      <w:r>
        <w:rPr>
          <w:rFonts w:hint="eastAsia" w:cs="宋体"/>
          <w:sz w:val="24"/>
          <w:szCs w:val="24"/>
        </w:rPr>
        <w:t>建设工程承包单位在向建设单位提交工程竣工验收报告时，应当向建设单位出具质量保修书。质量保修书中应当明确建设工程的保修范围、保修期限和保修责任等。具体的保修范围和最低保修期限必须符合国家法律法规的规定。</w:t>
      </w:r>
    </w:p>
    <w:p w14:paraId="15D72664">
      <w:pPr>
        <w:spacing w:line="440" w:lineRule="exact"/>
        <w:ind w:firstLine="480" w:firstLineChars="200"/>
        <w:rPr>
          <w:rFonts w:cs="宋体"/>
          <w:sz w:val="24"/>
          <w:szCs w:val="24"/>
        </w:rPr>
      </w:pPr>
      <w:r>
        <w:rPr>
          <w:rFonts w:hint="eastAsia" w:cs="宋体"/>
          <w:sz w:val="24"/>
          <w:szCs w:val="24"/>
        </w:rPr>
        <w:t>3.本工程的保修期，自竣工验收合格之日起计算。</w:t>
      </w:r>
    </w:p>
    <w:p w14:paraId="2C3229DC">
      <w:pPr>
        <w:spacing w:line="440" w:lineRule="exact"/>
        <w:ind w:firstLine="480" w:firstLineChars="200"/>
        <w:rPr>
          <w:rFonts w:cs="宋体"/>
          <w:sz w:val="24"/>
          <w:szCs w:val="24"/>
        </w:rPr>
      </w:pPr>
      <w:r>
        <w:rPr>
          <w:rFonts w:hint="eastAsia" w:cs="宋体"/>
          <w:sz w:val="24"/>
          <w:szCs w:val="24"/>
        </w:rPr>
        <w:t>4.工程维保服务要求</w:t>
      </w:r>
    </w:p>
    <w:p w14:paraId="315279DF">
      <w:pPr>
        <w:spacing w:line="440" w:lineRule="exact"/>
        <w:ind w:firstLine="480" w:firstLineChars="200"/>
        <w:rPr>
          <w:rFonts w:cs="宋体"/>
          <w:sz w:val="24"/>
          <w:szCs w:val="24"/>
        </w:rPr>
      </w:pPr>
      <w:r>
        <w:rPr>
          <w:rFonts w:hint="eastAsia" w:cs="宋体"/>
          <w:sz w:val="24"/>
          <w:szCs w:val="24"/>
        </w:rPr>
        <w:t>4.1本工程在保修范围和保修期限内发生质量问题的，施工单位应当履行保修义务，并对造成的损失承担赔偿责任。</w:t>
      </w:r>
    </w:p>
    <w:p w14:paraId="1635F06D">
      <w:pPr>
        <w:spacing w:line="440" w:lineRule="exact"/>
        <w:ind w:firstLine="480" w:firstLineChars="200"/>
        <w:rPr>
          <w:rFonts w:cs="宋体"/>
          <w:sz w:val="24"/>
          <w:szCs w:val="24"/>
        </w:rPr>
      </w:pPr>
      <w:r>
        <w:rPr>
          <w:rFonts w:hint="eastAsia" w:cs="宋体"/>
          <w:sz w:val="24"/>
          <w:szCs w:val="24"/>
        </w:rPr>
        <w:t>4.2供应商应当确保质保期内对工程故障技术支持与服务要及时，发生质量问题，采购人与成交供应商取得联系12小时内到达现场响应，并提出免费解决方案及材料、人工等。</w:t>
      </w:r>
    </w:p>
    <w:p w14:paraId="53E440C1">
      <w:pPr>
        <w:spacing w:line="440" w:lineRule="exact"/>
        <w:ind w:firstLine="480" w:firstLineChars="200"/>
        <w:rPr>
          <w:rFonts w:cs="宋体"/>
          <w:sz w:val="24"/>
          <w:szCs w:val="24"/>
        </w:rPr>
      </w:pPr>
      <w:r>
        <w:rPr>
          <w:rFonts w:hint="eastAsia" w:cs="宋体"/>
          <w:sz w:val="24"/>
          <w:szCs w:val="24"/>
        </w:rPr>
        <w:t>4.3供应商的工程维保方案完善，工程维保承诺具体切实可行。</w:t>
      </w:r>
    </w:p>
    <w:p w14:paraId="76F06792">
      <w:pPr>
        <w:spacing w:line="440" w:lineRule="exact"/>
        <w:ind w:firstLine="480" w:firstLineChars="200"/>
        <w:rPr>
          <w:rFonts w:cs="宋体"/>
          <w:sz w:val="24"/>
          <w:szCs w:val="24"/>
        </w:rPr>
      </w:pPr>
      <w:r>
        <w:rPr>
          <w:rFonts w:hint="eastAsia" w:cs="宋体"/>
          <w:sz w:val="24"/>
          <w:szCs w:val="24"/>
        </w:rPr>
        <w:t>4.4供应商应具备与本项目匹配的技术服务能力，并安排专职工程维保服务人员，以响应招标人的工程维保服务的技术要求。</w:t>
      </w:r>
    </w:p>
    <w:p w14:paraId="5B7B3756">
      <w:pPr>
        <w:adjustRightInd w:val="0"/>
        <w:snapToGrid w:val="0"/>
        <w:spacing w:line="440" w:lineRule="exact"/>
        <w:ind w:firstLine="482" w:firstLineChars="200"/>
        <w:rPr>
          <w:rFonts w:ascii="黑体" w:hAnsi="黑体" w:eastAsia="黑体" w:cs="黑体"/>
          <w:b/>
          <w:bCs/>
          <w:sz w:val="24"/>
          <w:szCs w:val="24"/>
        </w:rPr>
      </w:pPr>
      <w:r>
        <w:rPr>
          <w:rFonts w:hint="eastAsia" w:ascii="黑体" w:hAnsi="黑体" w:eastAsia="黑体" w:cs="黑体"/>
          <w:b/>
          <w:bCs/>
          <w:sz w:val="24"/>
          <w:szCs w:val="24"/>
        </w:rPr>
        <w:t>五、报价要求</w:t>
      </w:r>
    </w:p>
    <w:p w14:paraId="04F4034C">
      <w:pPr>
        <w:spacing w:line="440" w:lineRule="exact"/>
        <w:ind w:firstLine="480" w:firstLineChars="200"/>
        <w:rPr>
          <w:rFonts w:cs="宋体"/>
          <w:sz w:val="24"/>
          <w:szCs w:val="24"/>
        </w:rPr>
      </w:pPr>
      <w:r>
        <w:rPr>
          <w:rFonts w:hint="eastAsia" w:cs="宋体"/>
          <w:sz w:val="24"/>
          <w:szCs w:val="24"/>
        </w:rPr>
        <w:t>1、本项目报价货币为人民币，按项目报价（不得超过项目最高限价）。</w:t>
      </w:r>
    </w:p>
    <w:p w14:paraId="126CEE2F">
      <w:pPr>
        <w:spacing w:line="440" w:lineRule="exact"/>
        <w:ind w:firstLine="480" w:firstLineChars="200"/>
        <w:rPr>
          <w:rFonts w:cs="宋体"/>
          <w:sz w:val="24"/>
          <w:szCs w:val="24"/>
        </w:rPr>
      </w:pPr>
      <w:r>
        <w:rPr>
          <w:rFonts w:hint="eastAsia" w:cs="宋体"/>
          <w:sz w:val="24"/>
          <w:szCs w:val="24"/>
        </w:rPr>
        <w:t>2、供应商应当作出合理报价。报价应包括完成本项目所需的人员、技术和设备支出、交通、通讯、利润、税金、运输、风险等所有费用。除采购人明确提出需要的变更外，不再增加任何费用。</w:t>
      </w:r>
    </w:p>
    <w:p w14:paraId="2F497805">
      <w:pPr>
        <w:spacing w:line="480" w:lineRule="exact"/>
        <w:ind w:firstLine="482" w:firstLineChars="200"/>
        <w:rPr>
          <w:rFonts w:ascii="黑体" w:hAnsi="黑体" w:eastAsia="黑体" w:cs="黑体"/>
          <w:b/>
          <w:bCs/>
          <w:sz w:val="24"/>
          <w:szCs w:val="24"/>
        </w:rPr>
      </w:pPr>
      <w:r>
        <w:rPr>
          <w:rFonts w:hint="eastAsia" w:ascii="黑体" w:hAnsi="黑体" w:eastAsia="黑体" w:cs="黑体"/>
          <w:b/>
          <w:bCs/>
          <w:sz w:val="24"/>
          <w:szCs w:val="24"/>
        </w:rPr>
        <w:t>六、其他要求</w:t>
      </w:r>
    </w:p>
    <w:p w14:paraId="74DE6D5F">
      <w:pPr>
        <w:spacing w:line="480" w:lineRule="exact"/>
        <w:ind w:firstLine="480" w:firstLineChars="200"/>
        <w:rPr>
          <w:rFonts w:cs="宋体"/>
          <w:sz w:val="24"/>
          <w:szCs w:val="24"/>
        </w:rPr>
      </w:pPr>
      <w:r>
        <w:rPr>
          <w:rFonts w:hint="eastAsia" w:cs="宋体"/>
          <w:sz w:val="24"/>
          <w:szCs w:val="24"/>
        </w:rPr>
        <w:t>1.提交相应的材料产品合格证及施工完工后的售后服务。</w:t>
      </w:r>
    </w:p>
    <w:p w14:paraId="1BAC6A44">
      <w:pPr>
        <w:spacing w:line="480" w:lineRule="exact"/>
        <w:ind w:firstLine="480" w:firstLineChars="200"/>
        <w:rPr>
          <w:rFonts w:cs="宋体"/>
          <w:sz w:val="24"/>
          <w:szCs w:val="24"/>
        </w:rPr>
      </w:pPr>
      <w:r>
        <w:rPr>
          <w:rFonts w:hint="eastAsia" w:cs="宋体"/>
          <w:sz w:val="24"/>
          <w:szCs w:val="24"/>
        </w:rPr>
        <w:t>2.</w:t>
      </w:r>
      <w:r>
        <w:rPr>
          <w:rFonts w:hint="eastAsia" w:cs="宋体"/>
          <w:sz w:val="24"/>
          <w:szCs w:val="24"/>
          <w:lang w:eastAsia="zh-CN"/>
        </w:rPr>
        <w:t>本</w:t>
      </w:r>
      <w:r>
        <w:rPr>
          <w:rFonts w:hint="eastAsia" w:cs="宋体"/>
          <w:sz w:val="24"/>
          <w:szCs w:val="24"/>
        </w:rPr>
        <w:t>工程所用材料必须符合国家安全、环保相关标准要求。</w:t>
      </w:r>
    </w:p>
    <w:p w14:paraId="11FD1B6A">
      <w:pPr>
        <w:spacing w:line="480" w:lineRule="exact"/>
        <w:ind w:firstLine="480" w:firstLineChars="200"/>
        <w:rPr>
          <w:rFonts w:cs="宋体"/>
          <w:sz w:val="24"/>
          <w:szCs w:val="24"/>
        </w:rPr>
      </w:pPr>
      <w:r>
        <w:rPr>
          <w:rFonts w:hint="eastAsia" w:cs="宋体"/>
          <w:sz w:val="24"/>
          <w:szCs w:val="24"/>
          <w:lang w:val="en-US" w:eastAsia="zh-CN"/>
        </w:rPr>
        <w:t>3</w:t>
      </w:r>
      <w:r>
        <w:rPr>
          <w:rFonts w:hint="eastAsia" w:cs="宋体"/>
          <w:sz w:val="24"/>
          <w:szCs w:val="24"/>
        </w:rPr>
        <w:t>.按工程量清单保质保量完成全部内容。</w:t>
      </w:r>
    </w:p>
    <w:p w14:paraId="58B9F0DF">
      <w:pPr>
        <w:spacing w:line="480" w:lineRule="exact"/>
        <w:ind w:firstLine="480" w:firstLineChars="200"/>
        <w:rPr>
          <w:rFonts w:cs="宋体"/>
          <w:sz w:val="24"/>
          <w:szCs w:val="24"/>
        </w:rPr>
      </w:pPr>
      <w:r>
        <w:rPr>
          <w:rFonts w:hint="eastAsia" w:cs="宋体"/>
          <w:sz w:val="24"/>
          <w:szCs w:val="24"/>
          <w:lang w:val="en-US" w:eastAsia="zh-CN"/>
        </w:rPr>
        <w:t>4</w:t>
      </w:r>
      <w:r>
        <w:rPr>
          <w:rFonts w:hint="eastAsia" w:cs="宋体"/>
          <w:sz w:val="24"/>
          <w:szCs w:val="24"/>
        </w:rPr>
        <w:t>.签订严格的</w:t>
      </w:r>
      <w:r>
        <w:rPr>
          <w:rFonts w:cs="宋体"/>
          <w:sz w:val="24"/>
          <w:szCs w:val="24"/>
        </w:rPr>
        <w:t>质量保证协议以及相关安全协议</w:t>
      </w:r>
      <w:r>
        <w:rPr>
          <w:rFonts w:hint="eastAsia" w:cs="宋体"/>
          <w:sz w:val="24"/>
          <w:szCs w:val="24"/>
        </w:rPr>
        <w:t>。</w:t>
      </w:r>
    </w:p>
    <w:p w14:paraId="33E0C868">
      <w:pPr>
        <w:spacing w:line="480" w:lineRule="exact"/>
        <w:ind w:firstLine="480" w:firstLineChars="200"/>
        <w:rPr>
          <w:rFonts w:hint="eastAsia" w:cs="宋体"/>
          <w:sz w:val="24"/>
          <w:szCs w:val="24"/>
        </w:rPr>
      </w:pPr>
      <w:r>
        <w:rPr>
          <w:rFonts w:hint="eastAsia" w:cs="宋体"/>
          <w:sz w:val="24"/>
          <w:szCs w:val="24"/>
          <w:lang w:val="en-US" w:eastAsia="zh-CN"/>
        </w:rPr>
        <w:t>5</w:t>
      </w:r>
      <w:r>
        <w:rPr>
          <w:rFonts w:hint="eastAsia" w:cs="宋体"/>
          <w:sz w:val="24"/>
          <w:szCs w:val="24"/>
        </w:rPr>
        <w:t>.工程队之间有交集工作的各自工作不推诿。</w:t>
      </w:r>
    </w:p>
    <w:p w14:paraId="67794AC0">
      <w:pPr>
        <w:pStyle w:val="4"/>
        <w:rPr>
          <w:rFonts w:hint="eastAsia" w:cs="宋体"/>
          <w:sz w:val="24"/>
          <w:szCs w:val="24"/>
        </w:rPr>
      </w:pPr>
    </w:p>
    <w:p w14:paraId="389C17D9">
      <w:pPr>
        <w:pStyle w:val="4"/>
        <w:rPr>
          <w:rFonts w:hint="eastAsia" w:cs="宋体"/>
          <w:sz w:val="24"/>
          <w:szCs w:val="24"/>
        </w:rPr>
      </w:pPr>
    </w:p>
    <w:p w14:paraId="38DC33BB">
      <w:pPr>
        <w:pStyle w:val="4"/>
        <w:rPr>
          <w:rFonts w:hint="eastAsia" w:cs="宋体"/>
          <w:sz w:val="24"/>
          <w:szCs w:val="24"/>
        </w:rPr>
      </w:pPr>
    </w:p>
    <w:p w14:paraId="7536C292">
      <w:pPr>
        <w:pStyle w:val="4"/>
        <w:rPr>
          <w:rFonts w:hint="eastAsia" w:cs="宋体"/>
          <w:sz w:val="24"/>
          <w:szCs w:val="24"/>
        </w:rPr>
      </w:pPr>
    </w:p>
    <w:p w14:paraId="71FBFDD4">
      <w:pPr>
        <w:pStyle w:val="4"/>
        <w:rPr>
          <w:rFonts w:hint="eastAsia" w:cs="宋体"/>
          <w:sz w:val="24"/>
          <w:szCs w:val="24"/>
        </w:rPr>
      </w:pPr>
    </w:p>
    <w:p w14:paraId="7A527A98">
      <w:pPr>
        <w:pStyle w:val="4"/>
        <w:rPr>
          <w:rFonts w:hint="eastAsia" w:cs="宋体"/>
          <w:sz w:val="24"/>
          <w:szCs w:val="24"/>
        </w:rPr>
      </w:pPr>
    </w:p>
    <w:p w14:paraId="7C39FE38">
      <w:pPr>
        <w:pStyle w:val="4"/>
        <w:rPr>
          <w:rFonts w:hint="eastAsia" w:cs="宋体"/>
          <w:sz w:val="24"/>
          <w:szCs w:val="24"/>
        </w:rPr>
      </w:pPr>
    </w:p>
    <w:p w14:paraId="4A8C4F95">
      <w:pPr>
        <w:pStyle w:val="4"/>
        <w:rPr>
          <w:rFonts w:hint="eastAsia" w:cs="宋体"/>
          <w:sz w:val="24"/>
          <w:szCs w:val="24"/>
        </w:rPr>
      </w:pPr>
    </w:p>
    <w:p w14:paraId="30DD7A97">
      <w:pPr>
        <w:pStyle w:val="4"/>
        <w:rPr>
          <w:rFonts w:hint="eastAsia" w:cs="宋体"/>
          <w:sz w:val="24"/>
          <w:szCs w:val="24"/>
        </w:rPr>
      </w:pPr>
    </w:p>
    <w:p w14:paraId="3EA26DCF">
      <w:pPr>
        <w:pStyle w:val="4"/>
        <w:rPr>
          <w:rFonts w:hint="eastAsia" w:cs="宋体"/>
          <w:sz w:val="24"/>
          <w:szCs w:val="24"/>
        </w:rPr>
      </w:pPr>
    </w:p>
    <w:p w14:paraId="06E364E5">
      <w:pPr>
        <w:pStyle w:val="4"/>
        <w:rPr>
          <w:rFonts w:hint="eastAsia" w:cs="宋体"/>
          <w:sz w:val="24"/>
          <w:szCs w:val="24"/>
        </w:rPr>
      </w:pPr>
    </w:p>
    <w:p w14:paraId="24E8F4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DZkMTRhMjRiOWNhZjMwYzA0MjI3NWYxOGYxMmEifQ=="/>
  </w:docVars>
  <w:rsids>
    <w:rsidRoot w:val="FFBF8729"/>
    <w:rsid w:val="02930B16"/>
    <w:rsid w:val="38492C4F"/>
    <w:rsid w:val="40CC265C"/>
    <w:rsid w:val="426A64C7"/>
    <w:rsid w:val="73C20BD1"/>
    <w:rsid w:val="7A5A752D"/>
    <w:rsid w:val="7D901EB8"/>
    <w:rsid w:val="FFBF8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autoSpaceDN/>
      <w:adjustRightInd/>
      <w:spacing w:after="120"/>
      <w:jc w:val="both"/>
    </w:pPr>
    <w:rPr>
      <w:kern w:val="2"/>
      <w:szCs w:val="24"/>
    </w:rPr>
  </w:style>
  <w:style w:type="paragraph" w:customStyle="1" w:styleId="3">
    <w:name w:val="Body Text 21"/>
    <w:next w:val="2"/>
    <w:autoRedefine/>
    <w:qFormat/>
    <w:uiPriority w:val="0"/>
    <w:pPr>
      <w:widowControl w:val="0"/>
      <w:autoSpaceDE w:val="0"/>
      <w:autoSpaceDN w:val="0"/>
      <w:adjustRightInd w:val="0"/>
      <w:spacing w:line="400" w:lineRule="exact"/>
      <w:ind w:firstLine="357"/>
    </w:pPr>
    <w:rPr>
      <w:rFonts w:ascii="Times New Roman" w:hAnsi="Times New Roman" w:eastAsia="宋体" w:cs="Times New Roman"/>
      <w:sz w:val="28"/>
      <w:szCs w:val="21"/>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style>
  <w:style w:type="paragraph" w:customStyle="1" w:styleId="8">
    <w:name w:val="表"/>
    <w:basedOn w:val="1"/>
    <w:autoRedefine/>
    <w:qFormat/>
    <w:uiPriority w:val="0"/>
    <w:pPr>
      <w:spacing w:line="240" w:lineRule="exact"/>
      <w:jc w:val="center"/>
    </w:pPr>
    <w:rPr>
      <w:rFonts w:ascii="宋体" w:hAnsi="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2526</Words>
  <Characters>2678</Characters>
  <Lines>0</Lines>
  <Paragraphs>0</Paragraphs>
  <TotalTime>0</TotalTime>
  <ScaleCrop>false</ScaleCrop>
  <LinksUpToDate>false</LinksUpToDate>
  <CharactersWithSpaces>2694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2024-07-22T09:47:00Z</dcterms:created>
  <dc:creator>炉火纯情1402357241</dc:creator>
  <cp:lastModifiedBy>WPS_1665193567</cp:lastModifiedBy>
  <cp:lastPrinted>2024-07-24T01:41:18Z</cp:lastPrinted>
  <dcterms:modified xsi:type="dcterms:W3CDTF">2024-07-24T02:33:25Z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E2B43BD418364F738DB388EBB2F19206_13</vt:lpwstr>
  </property>
</Properties>
</file>