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ind w:leftChars="0" w:firstLine="1767" w:firstLineChars="400"/>
        <w:jc w:val="both"/>
        <w:rPr>
          <w:rFonts w:asciiTheme="minorEastAsia" w:hAnsiTheme="minorEastAsia" w:eastAsiaTheme="minorEastAsia" w:cstheme="minorEastAsia"/>
        </w:rPr>
      </w:pPr>
      <w:r>
        <w:rPr>
          <w:rFonts w:hint="eastAsia" w:asciiTheme="minorEastAsia" w:hAnsiTheme="minorEastAsia" w:eastAsiaTheme="minorEastAsia" w:cstheme="minorEastAsia"/>
          <w:lang w:eastAsia="zh-CN"/>
        </w:rPr>
        <w:t>采购需求</w:t>
      </w:r>
      <w:r>
        <w:rPr>
          <w:rFonts w:hint="eastAsia" w:asciiTheme="minorEastAsia" w:hAnsiTheme="minorEastAsia" w:eastAsiaTheme="minorEastAsia" w:cstheme="minorEastAsia"/>
        </w:rPr>
        <w:t>和有关说明</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本次项目建设主要以降低非必要性羁押率、加强非羁押人员智能监管、提升智慧检务工作特色为目标，从而整体构建华容区人民检察院的“互联网+信息化+检察”工作模式。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非羁押人员管控系统</w:t>
      </w:r>
      <w:r>
        <w:rPr>
          <w:rFonts w:hint="eastAsia" w:asciiTheme="minorEastAsia" w:hAnsiTheme="minorEastAsia" w:eastAsiaTheme="minorEastAsia" w:cstheme="minorEastAsia"/>
          <w:sz w:val="24"/>
          <w:lang w:eastAsia="zh-Hans"/>
        </w:rPr>
        <w:t>是解决传统模式下非羁押人员管理效率低、电子手环不利于非羁押人员正常工作生活、非羁押人员数量非正常增长等监管难题，通过人工智能、大数据等</w:t>
      </w:r>
      <w:r>
        <w:rPr>
          <w:rFonts w:hint="eastAsia" w:asciiTheme="minorEastAsia" w:hAnsiTheme="minorEastAsia" w:eastAsiaTheme="minorEastAsia" w:cstheme="minorEastAsia"/>
          <w:sz w:val="24"/>
        </w:rPr>
        <w:t>技术搭建成的一套智能化、移动化、便捷化的非羁押管理应用，实现对非羁押人员的线上有效管控。</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1、降低非必要性羁押率</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以谦抑慎刑理念为指导，引入新兴科技加强对非羁押人员监管，减少检察官对适用非羁押强制措施的顾虑，探索降低刑事案件审前羁押率，推进司法文明建设。</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2、加强非羁押人员智能监管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针对采取非羁押强制措施的犯罪嫌疑人，通过智能化辅助系统对其活动实时监控，确保非羁押人员不出现脱管漏管，保障刑事诉讼活动顺利进行。通过建设非羁押人员管控小程序，让犯罪嫌疑人在小程序上通过验证人像等生物特征完成注册登录，通过小程序及智能设备终端收集被监控对象数据，自动比对、及时发现其前往特定场所等违反规定的风险行为，做出智能化自动预警</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3、提升智慧检务工作特色</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通过司法办案、法律监督等检察业务与信息技术的融合发展，打造数据互融互通、技术相互映衬的智能化检察工作应用平台。</w:t>
      </w:r>
    </w:p>
    <w:p>
      <w:pPr>
        <w:spacing w:line="360" w:lineRule="auto"/>
        <w:ind w:firstLine="480" w:firstLineChars="200"/>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pStyle w:val="12"/>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pStyle w:val="12"/>
        <w:rPr>
          <w:rFonts w:asciiTheme="minorEastAsia" w:hAnsiTheme="minorEastAsia" w:eastAsiaTheme="minorEastAsia" w:cstheme="minorEastAsia"/>
          <w:sz w:val="24"/>
        </w:rPr>
      </w:pPr>
    </w:p>
    <w:p>
      <w:pPr>
        <w:rPr>
          <w:rFonts w:asciiTheme="minorEastAsia" w:hAnsiTheme="minorEastAsia" w:eastAsiaTheme="minorEastAsia" w:cstheme="minorEastAsia"/>
          <w:sz w:val="24"/>
        </w:rPr>
      </w:pPr>
    </w:p>
    <w:p>
      <w:pPr>
        <w:pStyle w:val="4"/>
        <w:numPr>
          <w:ilvl w:val="1"/>
          <w:numId w:val="0"/>
        </w:numPr>
        <w:ind w:leftChars="0"/>
      </w:pPr>
    </w:p>
    <w:p>
      <w:pPr>
        <w:rPr>
          <w:rFonts w:asciiTheme="minorEastAsia" w:hAnsiTheme="minorEastAsia" w:eastAsiaTheme="minorEastAsia" w:cstheme="minorEastAsia"/>
          <w:sz w:val="24"/>
        </w:rPr>
      </w:pPr>
    </w:p>
    <w:p>
      <w:pPr>
        <w:pStyle w:val="16"/>
        <w:rPr>
          <w:rFonts w:hint="eastAsia" w:ascii="宋体" w:hAnsi="宋体"/>
          <w:sz w:val="24"/>
        </w:rPr>
      </w:pPr>
    </w:p>
    <w:p>
      <w:pPr>
        <w:pStyle w:val="3"/>
        <w:numPr>
          <w:ilvl w:val="0"/>
          <w:numId w:val="0"/>
        </w:numPr>
        <w:bidi w:val="0"/>
        <w:ind w:leftChars="0"/>
        <w:jc w:val="center"/>
        <w:rPr>
          <w:rFonts w:hint="eastAsia"/>
          <w:lang w:eastAsia="zh-CN"/>
        </w:rPr>
      </w:pPr>
      <w:r>
        <w:rPr>
          <w:rFonts w:hint="eastAsia"/>
          <w:lang w:eastAsia="zh-CN"/>
        </w:rPr>
        <w:t>采购需求</w:t>
      </w:r>
    </w:p>
    <w:p>
      <w:pPr>
        <w:pStyle w:val="16"/>
        <w:rPr>
          <w:rFonts w:ascii="宋体" w:hAnsi="宋体"/>
          <w:sz w:val="24"/>
          <w:lang w:val="zh-CN"/>
        </w:rPr>
      </w:pPr>
      <w:r>
        <w:rPr>
          <w:rFonts w:hint="eastAsia" w:ascii="宋体" w:hAnsi="宋体"/>
          <w:sz w:val="24"/>
        </w:rPr>
        <w:t>一、</w:t>
      </w:r>
      <w:r>
        <w:rPr>
          <w:rFonts w:hint="eastAsia" w:ascii="宋体" w:hAnsi="宋体"/>
          <w:sz w:val="24"/>
          <w:lang w:val="zh-CN"/>
        </w:rPr>
        <w:t>项目概况</w:t>
      </w:r>
    </w:p>
    <w:p>
      <w:pPr>
        <w:spacing w:line="360" w:lineRule="auto"/>
        <w:ind w:firstLine="480" w:firstLineChars="200"/>
        <w:rPr>
          <w:rFonts w:hint="eastAsia" w:ascii="宋体" w:hAnsi="宋体" w:eastAsia="宋体"/>
          <w:color w:val="auto"/>
          <w:sz w:val="24"/>
          <w:lang w:val="en-US" w:eastAsia="zh-CN"/>
        </w:rPr>
      </w:pPr>
      <w:r>
        <w:rPr>
          <w:rFonts w:hint="eastAsia" w:ascii="宋体" w:hAnsi="宋体"/>
          <w:color w:val="auto"/>
          <w:sz w:val="24"/>
        </w:rPr>
        <w:t>1.</w:t>
      </w:r>
      <w:r>
        <w:rPr>
          <w:rFonts w:hint="eastAsia" w:ascii="宋体" w:hAnsi="宋体"/>
          <w:color w:val="auto"/>
          <w:sz w:val="24"/>
          <w:lang w:val="zh-CN"/>
        </w:rPr>
        <w:t>项目名称</w:t>
      </w:r>
      <w:r>
        <w:rPr>
          <w:rFonts w:hint="eastAsia" w:ascii="宋体" w:hAnsi="宋体"/>
          <w:color w:val="auto"/>
          <w:sz w:val="24"/>
        </w:rPr>
        <w:t>：</w:t>
      </w:r>
      <w:r>
        <w:rPr>
          <w:rFonts w:hint="eastAsia" w:ascii="宋体" w:hAnsi="宋体"/>
          <w:color w:val="auto"/>
          <w:sz w:val="24"/>
          <w:lang w:eastAsia="zh-CN"/>
        </w:rPr>
        <w:t>非羁押数字管控应用建设项目</w:t>
      </w:r>
    </w:p>
    <w:p>
      <w:pPr>
        <w:spacing w:line="360" w:lineRule="auto"/>
        <w:ind w:firstLine="480" w:firstLineChars="200"/>
        <w:rPr>
          <w:rFonts w:ascii="宋体" w:hAnsi="宋体"/>
          <w:color w:val="auto"/>
          <w:sz w:val="24"/>
        </w:rPr>
      </w:pPr>
      <w:r>
        <w:rPr>
          <w:rFonts w:hint="eastAsia" w:ascii="宋体" w:hAnsi="宋体"/>
          <w:color w:val="auto"/>
          <w:sz w:val="24"/>
        </w:rPr>
        <w:t>2.招标范围</w:t>
      </w:r>
      <w:r>
        <w:rPr>
          <w:rFonts w:hint="eastAsia" w:ascii="宋体" w:hAnsi="宋体"/>
          <w:color w:val="auto"/>
          <w:sz w:val="24"/>
          <w:lang w:val="zh-CN"/>
        </w:rPr>
        <w:t>：</w:t>
      </w:r>
      <w:r>
        <w:rPr>
          <w:rFonts w:hint="eastAsia" w:ascii="宋体" w:hAnsi="宋体"/>
          <w:color w:val="auto"/>
          <w:sz w:val="24"/>
          <w:lang w:val="zh-CN" w:eastAsia="zh-CN"/>
        </w:rPr>
        <w:t>非羁押数字管控应用（包含</w:t>
      </w:r>
      <w:r>
        <w:rPr>
          <w:rFonts w:hint="eastAsia" w:ascii="宋体" w:hAnsi="宋体" w:eastAsia="宋体" w:cs="宋体"/>
          <w:i w:val="0"/>
          <w:iCs w:val="0"/>
          <w:color w:val="000000"/>
          <w:kern w:val="0"/>
          <w:sz w:val="24"/>
          <w:szCs w:val="24"/>
          <w:u w:val="none"/>
          <w:lang w:val="en-US" w:eastAsia="zh-CN" w:bidi="ar"/>
        </w:rPr>
        <w:t>非羁押人员数字化智能监管平台</w:t>
      </w:r>
      <w:r>
        <w:rPr>
          <w:rFonts w:hint="eastAsia" w:ascii="宋体" w:hAnsi="宋体"/>
          <w:color w:val="auto"/>
          <w:sz w:val="24"/>
          <w:lang w:val="zh-CN" w:eastAsia="zh-CN"/>
        </w:rPr>
        <w:t>、非羁押人员移动端应用、监管人移动端应用）</w:t>
      </w:r>
    </w:p>
    <w:p>
      <w:pPr>
        <w:spacing w:line="360" w:lineRule="auto"/>
        <w:ind w:firstLine="480" w:firstLineChars="200"/>
        <w:rPr>
          <w:rFonts w:hint="eastAsia" w:ascii="宋体" w:hAnsi="宋体"/>
          <w:color w:val="auto"/>
          <w:sz w:val="24"/>
          <w:lang w:eastAsia="zh-CN"/>
        </w:rPr>
      </w:pPr>
      <w:r>
        <w:rPr>
          <w:rFonts w:hint="eastAsia" w:ascii="宋体" w:hAnsi="宋体"/>
          <w:color w:val="auto"/>
          <w:sz w:val="24"/>
          <w:lang w:val="en-US" w:eastAsia="zh-CN"/>
        </w:rPr>
        <w:t>3</w:t>
      </w:r>
      <w:r>
        <w:rPr>
          <w:rFonts w:hint="eastAsia" w:ascii="宋体" w:hAnsi="宋体"/>
          <w:color w:val="auto"/>
          <w:sz w:val="24"/>
        </w:rPr>
        <w:t>.</w:t>
      </w:r>
      <w:r>
        <w:rPr>
          <w:rFonts w:hint="eastAsia" w:ascii="宋体" w:hAnsi="宋体"/>
          <w:color w:val="auto"/>
          <w:sz w:val="24"/>
          <w:lang w:val="zh-CN"/>
        </w:rPr>
        <w:t>采购方式：</w:t>
      </w:r>
      <w:r>
        <w:rPr>
          <w:rFonts w:hint="eastAsia" w:ascii="宋体" w:hAnsi="宋体"/>
          <w:color w:val="auto"/>
          <w:sz w:val="24"/>
        </w:rPr>
        <w:t>竞争性磋商</w:t>
      </w:r>
    </w:p>
    <w:p>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.预算金额：</w:t>
      </w:r>
      <w:r>
        <w:rPr>
          <w:rFonts w:hint="eastAsia" w:ascii="宋体" w:hAnsi="宋体"/>
          <w:color w:val="auto"/>
          <w:sz w:val="24"/>
          <w:highlight w:val="none"/>
          <w:lang w:val="en-US" w:eastAsia="zh-CN"/>
        </w:rPr>
        <w:t>70</w:t>
      </w:r>
      <w:r>
        <w:rPr>
          <w:rFonts w:hint="eastAsia" w:ascii="宋体" w:hAnsi="宋体"/>
          <w:color w:val="auto"/>
          <w:sz w:val="24"/>
        </w:rPr>
        <w:t>万元</w:t>
      </w:r>
    </w:p>
    <w:p>
      <w:pPr>
        <w:spacing w:line="360" w:lineRule="auto"/>
        <w:ind w:firstLine="480" w:firstLineChars="200"/>
        <w:rPr>
          <w:rFonts w:hint="default" w:ascii="宋体" w:hAnsi="宋体"/>
          <w:color w:val="auto"/>
          <w:sz w:val="24"/>
          <w:lang w:val="en-US" w:eastAsia="zh-CN"/>
        </w:rPr>
      </w:pPr>
      <w:r>
        <w:rPr>
          <w:rFonts w:hint="eastAsia" w:ascii="宋体" w:hAnsi="宋体"/>
          <w:color w:val="auto"/>
          <w:sz w:val="24"/>
          <w:lang w:val="en-US" w:eastAsia="zh-CN"/>
        </w:rPr>
        <w:t>5.招标控制价：</w:t>
      </w:r>
      <w:r>
        <w:rPr>
          <w:rFonts w:hint="eastAsia" w:ascii="宋体" w:hAnsi="宋体"/>
          <w:color w:val="auto"/>
          <w:sz w:val="24"/>
          <w:highlight w:val="none"/>
          <w:lang w:val="en-US" w:eastAsia="zh-CN"/>
        </w:rPr>
        <w:t>70万</w:t>
      </w:r>
      <w:r>
        <w:rPr>
          <w:rFonts w:hint="eastAsia" w:ascii="宋体" w:hAnsi="宋体"/>
          <w:color w:val="auto"/>
          <w:sz w:val="24"/>
          <w:lang w:val="en-US" w:eastAsia="zh-CN"/>
        </w:rPr>
        <w:t>元</w:t>
      </w:r>
    </w:p>
    <w:p>
      <w:pPr>
        <w:spacing w:line="360" w:lineRule="auto"/>
        <w:ind w:firstLine="480" w:firstLineChars="200"/>
        <w:rPr>
          <w:rFonts w:hint="eastAsia" w:ascii="宋体" w:hAnsi="宋体"/>
          <w:color w:val="auto"/>
          <w:sz w:val="24"/>
          <w:lang w:val="zh-CN" w:eastAsia="zh-CN"/>
        </w:rPr>
      </w:pPr>
      <w:r>
        <w:rPr>
          <w:rFonts w:hint="eastAsia" w:ascii="宋体" w:hAnsi="宋体"/>
          <w:color w:val="auto"/>
          <w:sz w:val="24"/>
          <w:lang w:val="en-US" w:eastAsia="zh-CN"/>
        </w:rPr>
        <w:t>6.</w:t>
      </w:r>
      <w:r>
        <w:rPr>
          <w:rFonts w:hint="eastAsia" w:ascii="宋体" w:hAnsi="宋体"/>
          <w:color w:val="auto"/>
          <w:sz w:val="24"/>
          <w:lang w:val="zh-CN" w:eastAsia="zh-CN"/>
        </w:rPr>
        <w:t>质保期：</w:t>
      </w:r>
      <w:r>
        <w:rPr>
          <w:rFonts w:hint="eastAsia" w:ascii="宋体" w:hAnsi="宋体"/>
          <w:color w:val="auto"/>
          <w:sz w:val="24"/>
          <w:lang w:val="en-US" w:eastAsia="zh-CN"/>
        </w:rPr>
        <w:t>壹年，自工程竣工验收合格之日起算</w:t>
      </w:r>
    </w:p>
    <w:p>
      <w:pPr>
        <w:spacing w:line="360" w:lineRule="auto"/>
        <w:ind w:firstLine="480" w:firstLineChars="200"/>
      </w:pPr>
      <w:r>
        <w:rPr>
          <w:rFonts w:hint="eastAsia" w:ascii="宋体" w:hAnsi="宋体"/>
          <w:color w:val="auto"/>
          <w:sz w:val="24"/>
          <w:lang w:val="en-US" w:eastAsia="zh-CN"/>
        </w:rPr>
        <w:t>7</w:t>
      </w:r>
      <w:r>
        <w:rPr>
          <w:rFonts w:hint="eastAsia" w:ascii="宋体" w:hAnsi="宋体"/>
          <w:color w:val="auto"/>
          <w:sz w:val="24"/>
        </w:rPr>
        <w:t>.合同履行期限：</w:t>
      </w:r>
      <w:r>
        <w:rPr>
          <w:rFonts w:hint="eastAsia" w:ascii="宋体" w:hAnsi="宋体"/>
          <w:color w:val="auto"/>
          <w:sz w:val="24"/>
          <w:highlight w:val="none"/>
          <w:lang w:val="en-US" w:eastAsia="zh-CN"/>
        </w:rPr>
        <w:t>签订合同后10日历天</w:t>
      </w:r>
    </w:p>
    <w:p>
      <w:pPr>
        <w:pStyle w:val="4"/>
        <w:numPr>
          <w:ilvl w:val="1"/>
          <w:numId w:val="0"/>
        </w:numPr>
        <w:ind w:left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sz w:val="28"/>
          <w:szCs w:val="28"/>
        </w:rPr>
        <w:t>服务清单</w:t>
      </w:r>
    </w:p>
    <w:tbl>
      <w:tblPr>
        <w:tblStyle w:val="20"/>
        <w:tblW w:w="876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1"/>
        <w:gridCol w:w="1080"/>
        <w:gridCol w:w="1350"/>
        <w:gridCol w:w="3900"/>
        <w:gridCol w:w="810"/>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b/>
                <w:bCs/>
                <w:i w:val="0"/>
                <w:iCs w:val="0"/>
                <w:color w:val="000000"/>
                <w:sz w:val="24"/>
                <w:szCs w:val="24"/>
                <w:u w:val="none"/>
              </w:rPr>
            </w:pPr>
            <w:r>
              <w:rPr>
                <w:rFonts w:hint="eastAsia" w:ascii="宋体" w:hAnsi="宋体" w:cstheme="minorEastAsia"/>
                <w:b/>
                <w:bCs/>
                <w:sz w:val="24"/>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b/>
                <w:bCs/>
                <w:i w:val="0"/>
                <w:iCs w:val="0"/>
                <w:color w:val="000000"/>
                <w:sz w:val="24"/>
                <w:szCs w:val="24"/>
                <w:u w:val="none"/>
              </w:rPr>
            </w:pPr>
            <w:r>
              <w:rPr>
                <w:rFonts w:hint="eastAsia" w:ascii="宋体" w:hAnsi="宋体" w:cstheme="minorEastAsia"/>
                <w:b/>
                <w:bCs/>
                <w:sz w:val="24"/>
              </w:rPr>
              <w:t>名称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b/>
                <w:bCs/>
                <w:i w:val="0"/>
                <w:iCs w:val="0"/>
                <w:color w:val="000000"/>
                <w:sz w:val="24"/>
                <w:szCs w:val="24"/>
                <w:u w:val="none"/>
              </w:rPr>
            </w:pPr>
            <w:r>
              <w:rPr>
                <w:rFonts w:hint="eastAsia" w:ascii="宋体" w:hAnsi="宋体" w:cstheme="minorEastAsia"/>
                <w:b/>
                <w:bCs/>
                <w:sz w:val="24"/>
              </w:rPr>
              <w:t>建设内容</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b/>
                <w:bCs/>
                <w:i w:val="0"/>
                <w:iCs w:val="0"/>
                <w:color w:val="000000"/>
                <w:sz w:val="24"/>
                <w:szCs w:val="24"/>
                <w:u w:val="none"/>
              </w:rPr>
            </w:pPr>
            <w:r>
              <w:rPr>
                <w:rFonts w:hint="eastAsia" w:ascii="宋体" w:hAnsi="宋体" w:cstheme="minorEastAsia"/>
                <w:b/>
                <w:bCs/>
                <w:sz w:val="24"/>
              </w:rPr>
              <w:t>内容描述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b/>
                <w:bCs/>
                <w:i w:val="0"/>
                <w:iCs w:val="0"/>
                <w:color w:val="000000"/>
                <w:sz w:val="24"/>
                <w:szCs w:val="24"/>
                <w:u w:val="none"/>
              </w:rPr>
            </w:pPr>
            <w:r>
              <w:rPr>
                <w:rFonts w:hint="eastAsia" w:ascii="宋体" w:hAnsi="宋体" w:cstheme="minorEastAsia"/>
                <w:b/>
                <w:bCs/>
                <w:sz w:val="24"/>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hint="eastAsia" w:ascii="宋体" w:hAnsi="宋体" w:eastAsia="宋体" w:cs="宋体"/>
                <w:b/>
                <w:bCs/>
                <w:i w:val="0"/>
                <w:iCs w:val="0"/>
                <w:color w:val="000000"/>
                <w:sz w:val="24"/>
                <w:szCs w:val="24"/>
                <w:u w:val="none"/>
              </w:rPr>
            </w:pPr>
            <w:r>
              <w:rPr>
                <w:rFonts w:hint="eastAsia" w:ascii="宋体" w:hAnsi="宋体" w:cstheme="minorEastAsia"/>
                <w:b/>
                <w:bCs/>
                <w:sz w:val="24"/>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非羁押人员数字化智能监管平台</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非羁押人员管理</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非羁押人员信息</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非羁押人员信息搜索</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非羁押人员位置轨迹</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预警信息</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案件管理</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案件信息展示</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案件录入</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案件搜索</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案件操作</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预警管理</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预警信息展示</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预警搜索</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用户管理</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用户账号信息展示</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用户账号搜索</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账号密码重置</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用户账号信息编辑</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用户账号删除</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数据可视化</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分析展示大屏</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今日非羁押人员数据</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历史非羁押人员数据</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今日打卡数据</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实时预警信息</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风险等级变化</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案件统计展示</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监管平台应用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登录</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监管人登录</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发起监管</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发起监管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监管执行</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设置定时打卡规则</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修改定时打卡规则</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更改管控范围</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申报审核</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查阅申报记录</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完成监管</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赋码机制</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积分管理标准配置</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积分日志</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赋码评价</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手动赋分</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积分撤销</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预警信息管理</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超时未打卡预警</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出管控区域预警</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待办事项</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汇集监管人的所有待处理事项，已完成或已超期的事项，不在此显示。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通知中心</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展示用户的通知消息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短信提醒</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短信提醒</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数据分析</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监管数据统计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受监管人员应用</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登录注册</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登录注册</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非羁码</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非羁码</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待办事项</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待办事项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申报中心</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发起申报请求</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查看历史申报记录</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查看申报审批结果</w:t>
            </w: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通知中心</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展示用户的通知消息</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短信提醒</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短信提醒</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打卡任务</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打卡任务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71"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云服务器资源</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云服务器</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不小于4vCPUs | 8 GiB，系统盘40G， 存储 500G，10M 公网IP</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71"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数据库</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不小于MySQL 4C8G 100G</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71"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缓存</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不小于Redis 4G，单机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71"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其他服务</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短信服务</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不少于50条（人/月），1年使用人数为100人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71"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人脸识别服务</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人脸识别服务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71"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地图服务</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开源地图</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71"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系统更替</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软件系统运行的物理环境应根据实际情况以及国家安可替代进程，在条件成熟时过渡到安可服务器或安可云服务器，对软件系统进行安可替代。</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技术、服务要求</w:t>
      </w:r>
    </w:p>
    <w:tbl>
      <w:tblPr>
        <w:tblStyle w:val="20"/>
        <w:tblW w:w="855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76"/>
        <w:gridCol w:w="765"/>
        <w:gridCol w:w="1875"/>
        <w:gridCol w:w="5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576"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6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1875"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模块</w:t>
            </w:r>
          </w:p>
        </w:tc>
        <w:tc>
          <w:tcPr>
            <w:tcW w:w="534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功能要求及技术参数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6"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65" w:type="dxa"/>
            <w:vMerge w:val="restar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非羁押人员数字化智能监管平台</w:t>
            </w:r>
          </w:p>
        </w:tc>
        <w:tc>
          <w:tcPr>
            <w:tcW w:w="1875" w:type="dxa"/>
            <w:vMerge w:val="restart"/>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非羁押人员管理</w:t>
            </w:r>
          </w:p>
        </w:tc>
        <w:tc>
          <w:tcPr>
            <w:tcW w:w="5340"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1.非羁押人员信息：查看非羁押人员的信息详情，取保候审事件详情、监管状态等。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both"/>
              <w:rPr>
                <w:rFonts w:hint="eastAsia" w:ascii="宋体" w:hAnsi="宋体" w:eastAsia="宋体" w:cs="宋体"/>
                <w:i w:val="0"/>
                <w:iCs w:val="0"/>
                <w:color w:val="000000"/>
                <w:sz w:val="24"/>
                <w:szCs w:val="24"/>
                <w:u w:val="none"/>
              </w:rPr>
            </w:pPr>
          </w:p>
        </w:tc>
        <w:tc>
          <w:tcPr>
            <w:tcW w:w="1875" w:type="dxa"/>
            <w:vMerge w:val="continue"/>
            <w:shd w:val="clear" w:color="auto" w:fill="auto"/>
            <w:vAlign w:val="center"/>
          </w:tcPr>
          <w:p>
            <w:pPr>
              <w:jc w:val="both"/>
              <w:rPr>
                <w:rFonts w:hint="eastAsia" w:ascii="宋体" w:hAnsi="宋体" w:eastAsia="宋体" w:cs="宋体"/>
                <w:i w:val="0"/>
                <w:iCs w:val="0"/>
                <w:color w:val="000000"/>
                <w:sz w:val="24"/>
                <w:szCs w:val="24"/>
                <w:u w:val="none"/>
              </w:rPr>
            </w:pPr>
          </w:p>
        </w:tc>
        <w:tc>
          <w:tcPr>
            <w:tcW w:w="5340"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2.非羁押人员搜索：支持按非羁押人员信息、监管人信息进行搜索。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both"/>
              <w:rPr>
                <w:rFonts w:hint="eastAsia" w:ascii="宋体" w:hAnsi="宋体" w:eastAsia="宋体" w:cs="宋体"/>
                <w:i w:val="0"/>
                <w:iCs w:val="0"/>
                <w:color w:val="000000"/>
                <w:sz w:val="24"/>
                <w:szCs w:val="24"/>
                <w:u w:val="none"/>
              </w:rPr>
            </w:pPr>
          </w:p>
        </w:tc>
        <w:tc>
          <w:tcPr>
            <w:tcW w:w="1875" w:type="dxa"/>
            <w:vMerge w:val="continue"/>
            <w:shd w:val="clear" w:color="auto" w:fill="auto"/>
            <w:vAlign w:val="center"/>
          </w:tcPr>
          <w:p>
            <w:pPr>
              <w:jc w:val="both"/>
              <w:rPr>
                <w:rFonts w:hint="eastAsia" w:ascii="宋体" w:hAnsi="宋体" w:eastAsia="宋体" w:cs="宋体"/>
                <w:i w:val="0"/>
                <w:iCs w:val="0"/>
                <w:color w:val="000000"/>
                <w:sz w:val="24"/>
                <w:szCs w:val="24"/>
                <w:u w:val="none"/>
              </w:rPr>
            </w:pPr>
          </w:p>
        </w:tc>
        <w:tc>
          <w:tcPr>
            <w:tcW w:w="5340"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3.非羁押人员位置轨迹：地图展示非羁押人员打卡位置轨迹，以及打卡时间。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both"/>
              <w:rPr>
                <w:rFonts w:hint="eastAsia" w:ascii="宋体" w:hAnsi="宋体" w:eastAsia="宋体" w:cs="宋体"/>
                <w:i w:val="0"/>
                <w:iCs w:val="0"/>
                <w:color w:val="000000"/>
                <w:sz w:val="24"/>
                <w:szCs w:val="24"/>
                <w:u w:val="none"/>
              </w:rPr>
            </w:pPr>
          </w:p>
        </w:tc>
        <w:tc>
          <w:tcPr>
            <w:tcW w:w="1875" w:type="dxa"/>
            <w:vMerge w:val="continue"/>
            <w:shd w:val="clear" w:color="auto" w:fill="auto"/>
            <w:vAlign w:val="center"/>
          </w:tcPr>
          <w:p>
            <w:pPr>
              <w:jc w:val="both"/>
              <w:rPr>
                <w:rFonts w:hint="eastAsia" w:ascii="宋体" w:hAnsi="宋体" w:eastAsia="宋体" w:cs="宋体"/>
                <w:i w:val="0"/>
                <w:iCs w:val="0"/>
                <w:color w:val="000000"/>
                <w:sz w:val="24"/>
                <w:szCs w:val="24"/>
                <w:u w:val="none"/>
              </w:rPr>
            </w:pPr>
          </w:p>
        </w:tc>
        <w:tc>
          <w:tcPr>
            <w:tcW w:w="5340"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4.预警信息：查看非羁押人员的预警历史。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both"/>
              <w:rPr>
                <w:rFonts w:hint="eastAsia" w:ascii="宋体" w:hAnsi="宋体" w:eastAsia="宋体" w:cs="宋体"/>
                <w:i w:val="0"/>
                <w:iCs w:val="0"/>
                <w:color w:val="000000"/>
                <w:sz w:val="24"/>
                <w:szCs w:val="24"/>
                <w:u w:val="none"/>
              </w:rPr>
            </w:pPr>
          </w:p>
        </w:tc>
        <w:tc>
          <w:tcPr>
            <w:tcW w:w="1875" w:type="dxa"/>
            <w:vMerge w:val="restart"/>
            <w:shd w:val="clear" w:color="auto" w:fill="auto"/>
            <w:vAlign w:val="center"/>
          </w:tcPr>
          <w:p>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案件管理</w:t>
            </w:r>
          </w:p>
        </w:tc>
        <w:tc>
          <w:tcPr>
            <w:tcW w:w="5340"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1.案件信息展示：展示案件详细，包括非羁押人员身份信息及案由等。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both"/>
              <w:rPr>
                <w:rFonts w:hint="eastAsia" w:ascii="宋体" w:hAnsi="宋体" w:eastAsia="宋体" w:cs="宋体"/>
                <w:i w:val="0"/>
                <w:iCs w:val="0"/>
                <w:color w:val="000000"/>
                <w:sz w:val="24"/>
                <w:szCs w:val="24"/>
                <w:u w:val="none"/>
              </w:rPr>
            </w:pPr>
          </w:p>
        </w:tc>
        <w:tc>
          <w:tcPr>
            <w:tcW w:w="1875" w:type="dxa"/>
            <w:vMerge w:val="continue"/>
            <w:shd w:val="clear" w:color="auto" w:fill="auto"/>
            <w:vAlign w:val="center"/>
          </w:tcPr>
          <w:p>
            <w:pPr>
              <w:jc w:val="both"/>
              <w:rPr>
                <w:rFonts w:hint="eastAsia" w:ascii="宋体" w:hAnsi="宋体" w:eastAsia="宋体" w:cs="宋体"/>
                <w:i w:val="0"/>
                <w:iCs w:val="0"/>
                <w:color w:val="000000"/>
                <w:sz w:val="24"/>
                <w:szCs w:val="24"/>
                <w:u w:val="none"/>
              </w:rPr>
            </w:pPr>
          </w:p>
        </w:tc>
        <w:tc>
          <w:tcPr>
            <w:tcW w:w="5340"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2.案件录入：支持录入新的案件信息，包括嫌疑人信息、案件信息等。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both"/>
              <w:rPr>
                <w:rFonts w:hint="eastAsia" w:ascii="宋体" w:hAnsi="宋体" w:eastAsia="宋体" w:cs="宋体"/>
                <w:i w:val="0"/>
                <w:iCs w:val="0"/>
                <w:color w:val="000000"/>
                <w:sz w:val="24"/>
                <w:szCs w:val="24"/>
                <w:u w:val="none"/>
              </w:rPr>
            </w:pPr>
          </w:p>
        </w:tc>
        <w:tc>
          <w:tcPr>
            <w:tcW w:w="1875" w:type="dxa"/>
            <w:vMerge w:val="continue"/>
            <w:shd w:val="clear" w:color="auto" w:fill="auto"/>
            <w:vAlign w:val="center"/>
          </w:tcPr>
          <w:p>
            <w:pPr>
              <w:jc w:val="both"/>
              <w:rPr>
                <w:rFonts w:hint="eastAsia" w:ascii="宋体" w:hAnsi="宋体" w:eastAsia="宋体" w:cs="宋体"/>
                <w:i w:val="0"/>
                <w:iCs w:val="0"/>
                <w:color w:val="000000"/>
                <w:sz w:val="24"/>
                <w:szCs w:val="24"/>
                <w:u w:val="none"/>
              </w:rPr>
            </w:pPr>
          </w:p>
        </w:tc>
        <w:tc>
          <w:tcPr>
            <w:tcW w:w="5340"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3.案件搜索：支持按主办单位、案件状态、个人信息、案件编号等信息进行搜索。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both"/>
              <w:rPr>
                <w:rFonts w:hint="eastAsia" w:ascii="宋体" w:hAnsi="宋体" w:eastAsia="宋体" w:cs="宋体"/>
                <w:i w:val="0"/>
                <w:iCs w:val="0"/>
                <w:color w:val="000000"/>
                <w:sz w:val="24"/>
                <w:szCs w:val="24"/>
                <w:u w:val="none"/>
              </w:rPr>
            </w:pPr>
          </w:p>
        </w:tc>
        <w:tc>
          <w:tcPr>
            <w:tcW w:w="1875" w:type="dxa"/>
            <w:vMerge w:val="continue"/>
            <w:shd w:val="clear" w:color="auto" w:fill="auto"/>
            <w:vAlign w:val="center"/>
          </w:tcPr>
          <w:p>
            <w:pPr>
              <w:jc w:val="both"/>
              <w:rPr>
                <w:rFonts w:hint="eastAsia" w:ascii="宋体" w:hAnsi="宋体" w:eastAsia="宋体" w:cs="宋体"/>
                <w:i w:val="0"/>
                <w:iCs w:val="0"/>
                <w:color w:val="000000"/>
                <w:sz w:val="24"/>
                <w:szCs w:val="24"/>
                <w:u w:val="none"/>
              </w:rPr>
            </w:pPr>
          </w:p>
        </w:tc>
        <w:tc>
          <w:tcPr>
            <w:tcW w:w="5340"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4.案件操作：未注册的案件，可以编辑、删除。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both"/>
              <w:rPr>
                <w:rFonts w:hint="eastAsia" w:ascii="宋体" w:hAnsi="宋体" w:eastAsia="宋体" w:cs="宋体"/>
                <w:i w:val="0"/>
                <w:iCs w:val="0"/>
                <w:color w:val="000000"/>
                <w:sz w:val="24"/>
                <w:szCs w:val="24"/>
                <w:u w:val="none"/>
              </w:rPr>
            </w:pPr>
          </w:p>
        </w:tc>
        <w:tc>
          <w:tcPr>
            <w:tcW w:w="1875" w:type="dxa"/>
            <w:vMerge w:val="restar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预警管理</w:t>
            </w:r>
          </w:p>
        </w:tc>
        <w:tc>
          <w:tcPr>
            <w:tcW w:w="5340"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1.预警信息展示：展示平台所有的预警信息，及其详情。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both"/>
              <w:rPr>
                <w:rFonts w:hint="eastAsia" w:ascii="宋体" w:hAnsi="宋体" w:eastAsia="宋体" w:cs="宋体"/>
                <w:i w:val="0"/>
                <w:iCs w:val="0"/>
                <w:color w:val="000000"/>
                <w:sz w:val="24"/>
                <w:szCs w:val="24"/>
                <w:u w:val="none"/>
              </w:rPr>
            </w:pPr>
          </w:p>
        </w:tc>
        <w:tc>
          <w:tcPr>
            <w:tcW w:w="1875" w:type="dxa"/>
            <w:vMerge w:val="continue"/>
            <w:shd w:val="clear" w:color="auto" w:fill="auto"/>
            <w:vAlign w:val="center"/>
          </w:tcPr>
          <w:p>
            <w:pPr>
              <w:jc w:val="left"/>
              <w:rPr>
                <w:rFonts w:hint="eastAsia" w:ascii="宋体" w:hAnsi="宋体" w:eastAsia="宋体" w:cs="宋体"/>
                <w:i w:val="0"/>
                <w:iCs w:val="0"/>
                <w:color w:val="000000"/>
                <w:sz w:val="24"/>
                <w:szCs w:val="24"/>
                <w:u w:val="none"/>
              </w:rPr>
            </w:pPr>
          </w:p>
        </w:tc>
        <w:tc>
          <w:tcPr>
            <w:tcW w:w="5340"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2.预警搜索：支持按非羁押人员信息、预警类型、预警时预警详情等关键词进行搜索。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both"/>
              <w:rPr>
                <w:rFonts w:hint="eastAsia" w:ascii="宋体" w:hAnsi="宋体" w:eastAsia="宋体" w:cs="宋体"/>
                <w:i w:val="0"/>
                <w:iCs w:val="0"/>
                <w:color w:val="000000"/>
                <w:sz w:val="24"/>
                <w:szCs w:val="24"/>
                <w:u w:val="none"/>
              </w:rPr>
            </w:pPr>
          </w:p>
        </w:tc>
        <w:tc>
          <w:tcPr>
            <w:tcW w:w="1875"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用户管理</w:t>
            </w:r>
          </w:p>
        </w:tc>
        <w:tc>
          <w:tcPr>
            <w:tcW w:w="5340"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1.用户账号信息展示：展示监管人用户账号信息，包含姓名、身份证号、用户类型、所属组织、账号状态、注册时间、手机号码等信息。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both"/>
              <w:rPr>
                <w:rFonts w:hint="eastAsia" w:ascii="宋体" w:hAnsi="宋体" w:eastAsia="宋体" w:cs="宋体"/>
                <w:i w:val="0"/>
                <w:iCs w:val="0"/>
                <w:color w:val="000000"/>
                <w:sz w:val="24"/>
                <w:szCs w:val="24"/>
                <w:u w:val="none"/>
              </w:rPr>
            </w:pPr>
          </w:p>
        </w:tc>
        <w:tc>
          <w:tcPr>
            <w:tcW w:w="1875" w:type="dxa"/>
            <w:vMerge w:val="continue"/>
            <w:shd w:val="clear" w:color="auto" w:fill="auto"/>
            <w:vAlign w:val="center"/>
          </w:tcPr>
          <w:p>
            <w:pPr>
              <w:jc w:val="left"/>
              <w:rPr>
                <w:rFonts w:hint="eastAsia" w:ascii="宋体" w:hAnsi="宋体" w:eastAsia="宋体" w:cs="宋体"/>
                <w:i w:val="0"/>
                <w:iCs w:val="0"/>
                <w:color w:val="000000"/>
                <w:sz w:val="24"/>
                <w:szCs w:val="24"/>
                <w:u w:val="none"/>
              </w:rPr>
            </w:pPr>
          </w:p>
        </w:tc>
        <w:tc>
          <w:tcPr>
            <w:tcW w:w="5340"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2.用户账号搜索：支持针对用户姓名、身份证号、所属组织的模糊搜索，同时支持按账号类型筛选。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both"/>
              <w:rPr>
                <w:rFonts w:hint="eastAsia" w:ascii="宋体" w:hAnsi="宋体" w:eastAsia="宋体" w:cs="宋体"/>
                <w:i w:val="0"/>
                <w:iCs w:val="0"/>
                <w:color w:val="000000"/>
                <w:sz w:val="24"/>
                <w:szCs w:val="24"/>
                <w:u w:val="none"/>
              </w:rPr>
            </w:pPr>
          </w:p>
        </w:tc>
        <w:tc>
          <w:tcPr>
            <w:tcW w:w="1875" w:type="dxa"/>
            <w:vMerge w:val="continue"/>
            <w:shd w:val="clear" w:color="auto" w:fill="auto"/>
            <w:vAlign w:val="center"/>
          </w:tcPr>
          <w:p>
            <w:pPr>
              <w:jc w:val="left"/>
              <w:rPr>
                <w:rFonts w:hint="eastAsia" w:ascii="宋体" w:hAnsi="宋体" w:eastAsia="宋体" w:cs="宋体"/>
                <w:i w:val="0"/>
                <w:iCs w:val="0"/>
                <w:color w:val="000000"/>
                <w:sz w:val="24"/>
                <w:szCs w:val="24"/>
                <w:u w:val="none"/>
              </w:rPr>
            </w:pPr>
          </w:p>
        </w:tc>
        <w:tc>
          <w:tcPr>
            <w:tcW w:w="5340"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3.账号密码重置：支持管理员重置其他用户账号密码。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both"/>
              <w:rPr>
                <w:rFonts w:hint="eastAsia" w:ascii="宋体" w:hAnsi="宋体" w:eastAsia="宋体" w:cs="宋体"/>
                <w:i w:val="0"/>
                <w:iCs w:val="0"/>
                <w:color w:val="000000"/>
                <w:sz w:val="24"/>
                <w:szCs w:val="24"/>
                <w:u w:val="none"/>
              </w:rPr>
            </w:pPr>
          </w:p>
        </w:tc>
        <w:tc>
          <w:tcPr>
            <w:tcW w:w="1875" w:type="dxa"/>
            <w:vMerge w:val="continue"/>
            <w:shd w:val="clear" w:color="auto" w:fill="auto"/>
            <w:vAlign w:val="center"/>
          </w:tcPr>
          <w:p>
            <w:pPr>
              <w:jc w:val="left"/>
              <w:rPr>
                <w:rFonts w:hint="eastAsia" w:ascii="宋体" w:hAnsi="宋体" w:eastAsia="宋体" w:cs="宋体"/>
                <w:i w:val="0"/>
                <w:iCs w:val="0"/>
                <w:color w:val="000000"/>
                <w:sz w:val="24"/>
                <w:szCs w:val="24"/>
                <w:u w:val="none"/>
              </w:rPr>
            </w:pPr>
          </w:p>
        </w:tc>
        <w:tc>
          <w:tcPr>
            <w:tcW w:w="5340"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4.用户账号信息编辑：支持管理员编辑用户的账号信息，包括：姓名、身份证号、手机号、所属组织。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both"/>
              <w:rPr>
                <w:rFonts w:hint="eastAsia" w:ascii="宋体" w:hAnsi="宋体" w:eastAsia="宋体" w:cs="宋体"/>
                <w:i w:val="0"/>
                <w:iCs w:val="0"/>
                <w:color w:val="000000"/>
                <w:sz w:val="24"/>
                <w:szCs w:val="24"/>
                <w:u w:val="none"/>
              </w:rPr>
            </w:pPr>
          </w:p>
        </w:tc>
        <w:tc>
          <w:tcPr>
            <w:tcW w:w="1875" w:type="dxa"/>
            <w:vMerge w:val="continue"/>
            <w:shd w:val="clear" w:color="auto" w:fill="auto"/>
            <w:vAlign w:val="center"/>
          </w:tcPr>
          <w:p>
            <w:pPr>
              <w:jc w:val="left"/>
              <w:rPr>
                <w:rFonts w:hint="eastAsia" w:ascii="宋体" w:hAnsi="宋体" w:eastAsia="宋体" w:cs="宋体"/>
                <w:i w:val="0"/>
                <w:iCs w:val="0"/>
                <w:color w:val="000000"/>
                <w:sz w:val="24"/>
                <w:szCs w:val="24"/>
                <w:u w:val="none"/>
              </w:rPr>
            </w:pPr>
          </w:p>
        </w:tc>
        <w:tc>
          <w:tcPr>
            <w:tcW w:w="5340"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5.用户账号删除：支持管理员删除用户的账号，删除后，该账号无法再次登录管理平台。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76"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6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数据可视化</w:t>
            </w:r>
          </w:p>
        </w:tc>
        <w:tc>
          <w:tcPr>
            <w:tcW w:w="1875"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分析展示大屏</w:t>
            </w:r>
          </w:p>
        </w:tc>
        <w:tc>
          <w:tcPr>
            <w:tcW w:w="5340"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1.今日非羁押人员数据：展示今日统计数据，包含：非羁押人员总数、监管中数量、已结束数量、其他区县上链人数、外省上链人数。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875" w:type="dxa"/>
            <w:vMerge w:val="continue"/>
            <w:shd w:val="clear" w:color="auto" w:fill="auto"/>
            <w:vAlign w:val="center"/>
          </w:tcPr>
          <w:p>
            <w:pPr>
              <w:jc w:val="left"/>
              <w:rPr>
                <w:rFonts w:hint="eastAsia" w:ascii="宋体" w:hAnsi="宋体" w:eastAsia="宋体" w:cs="宋体"/>
                <w:i w:val="0"/>
                <w:iCs w:val="0"/>
                <w:color w:val="000000"/>
                <w:sz w:val="24"/>
                <w:szCs w:val="24"/>
                <w:u w:val="none"/>
              </w:rPr>
            </w:pPr>
          </w:p>
        </w:tc>
        <w:tc>
          <w:tcPr>
            <w:tcW w:w="5340"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2.历史非羁押人员数据：折线图展示近2周非羁押人员数量变化数据。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875" w:type="dxa"/>
            <w:vMerge w:val="continue"/>
            <w:shd w:val="clear" w:color="auto" w:fill="auto"/>
            <w:vAlign w:val="center"/>
          </w:tcPr>
          <w:p>
            <w:pPr>
              <w:jc w:val="left"/>
              <w:rPr>
                <w:rFonts w:hint="eastAsia" w:ascii="宋体" w:hAnsi="宋体" w:eastAsia="宋体" w:cs="宋体"/>
                <w:i w:val="0"/>
                <w:iCs w:val="0"/>
                <w:color w:val="000000"/>
                <w:sz w:val="24"/>
                <w:szCs w:val="24"/>
                <w:u w:val="none"/>
              </w:rPr>
            </w:pPr>
          </w:p>
        </w:tc>
        <w:tc>
          <w:tcPr>
            <w:tcW w:w="5340"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3.今日打卡数据：展示今日打卡人数、打卡次数、红黄绿码人数占比。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875" w:type="dxa"/>
            <w:vMerge w:val="continue"/>
            <w:shd w:val="clear" w:color="auto" w:fill="auto"/>
            <w:vAlign w:val="center"/>
          </w:tcPr>
          <w:p>
            <w:pPr>
              <w:jc w:val="left"/>
              <w:rPr>
                <w:rFonts w:hint="eastAsia" w:ascii="宋体" w:hAnsi="宋体" w:eastAsia="宋体" w:cs="宋体"/>
                <w:i w:val="0"/>
                <w:iCs w:val="0"/>
                <w:color w:val="000000"/>
                <w:sz w:val="24"/>
                <w:szCs w:val="24"/>
                <w:u w:val="none"/>
              </w:rPr>
            </w:pPr>
          </w:p>
        </w:tc>
        <w:tc>
          <w:tcPr>
            <w:tcW w:w="5340"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4.实时预警信息：滚动展示所有人员实时预警信息。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875" w:type="dxa"/>
            <w:vMerge w:val="continue"/>
            <w:shd w:val="clear" w:color="auto" w:fill="auto"/>
            <w:vAlign w:val="center"/>
          </w:tcPr>
          <w:p>
            <w:pPr>
              <w:jc w:val="left"/>
              <w:rPr>
                <w:rFonts w:hint="eastAsia" w:ascii="宋体" w:hAnsi="宋体" w:eastAsia="宋体" w:cs="宋体"/>
                <w:i w:val="0"/>
                <w:iCs w:val="0"/>
                <w:color w:val="000000"/>
                <w:sz w:val="24"/>
                <w:szCs w:val="24"/>
                <w:u w:val="none"/>
              </w:rPr>
            </w:pPr>
          </w:p>
        </w:tc>
        <w:tc>
          <w:tcPr>
            <w:tcW w:w="5340"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5.风险等级变化：折线图直观展示近一周红黄绿码人数变化。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875" w:type="dxa"/>
            <w:vMerge w:val="continue"/>
            <w:shd w:val="clear" w:color="auto" w:fill="auto"/>
            <w:vAlign w:val="center"/>
          </w:tcPr>
          <w:p>
            <w:pPr>
              <w:jc w:val="left"/>
              <w:rPr>
                <w:rFonts w:hint="eastAsia" w:ascii="宋体" w:hAnsi="宋体" w:eastAsia="宋体" w:cs="宋体"/>
                <w:i w:val="0"/>
                <w:iCs w:val="0"/>
                <w:color w:val="000000"/>
                <w:sz w:val="24"/>
                <w:szCs w:val="24"/>
                <w:u w:val="none"/>
              </w:rPr>
            </w:pPr>
          </w:p>
        </w:tc>
        <w:tc>
          <w:tcPr>
            <w:tcW w:w="5340"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6.案件统计展示：展示每日由各部门监管的案件数量变化。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76"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6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监管平台应用</w:t>
            </w:r>
          </w:p>
        </w:tc>
        <w:tc>
          <w:tcPr>
            <w:tcW w:w="18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登录</w:t>
            </w:r>
          </w:p>
        </w:tc>
        <w:tc>
          <w:tcPr>
            <w:tcW w:w="5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为监管人提供手机号+验证码的登录方式，监管人账号采取封闭式分发用户制，统一由管理员分配，不允许用户随意注册为监管人。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875"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发起监管</w:t>
            </w:r>
          </w:p>
        </w:tc>
        <w:tc>
          <w:tcPr>
            <w:tcW w:w="5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1.监管人录入非羁押人员个人身份信息（身份证号、姓名、手机号、居住区域、详细地址、紧急联系人姓名和联系方式）等信息。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875" w:type="dxa"/>
            <w:vMerge w:val="continue"/>
            <w:shd w:val="clear" w:color="auto" w:fill="auto"/>
            <w:vAlign w:val="center"/>
          </w:tcPr>
          <w:p>
            <w:pPr>
              <w:jc w:val="left"/>
              <w:rPr>
                <w:rFonts w:hint="eastAsia" w:ascii="宋体" w:hAnsi="宋体" w:eastAsia="宋体" w:cs="宋体"/>
                <w:i w:val="0"/>
                <w:iCs w:val="0"/>
                <w:color w:val="000000"/>
                <w:sz w:val="24"/>
                <w:szCs w:val="24"/>
                <w:u w:val="none"/>
              </w:rPr>
            </w:pPr>
          </w:p>
        </w:tc>
        <w:tc>
          <w:tcPr>
            <w:tcW w:w="5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2.监管人录入非羁押人员案件信息、取保候审开始结束时间、管控范围、保证情况、主办单位、主办检察官。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875" w:type="dxa"/>
            <w:vMerge w:val="continue"/>
            <w:shd w:val="clear" w:color="auto" w:fill="auto"/>
            <w:vAlign w:val="center"/>
          </w:tcPr>
          <w:p>
            <w:pPr>
              <w:jc w:val="left"/>
              <w:rPr>
                <w:rFonts w:hint="eastAsia" w:ascii="宋体" w:hAnsi="宋体" w:eastAsia="宋体" w:cs="宋体"/>
                <w:i w:val="0"/>
                <w:iCs w:val="0"/>
                <w:color w:val="000000"/>
                <w:sz w:val="24"/>
                <w:szCs w:val="24"/>
                <w:u w:val="none"/>
              </w:rPr>
            </w:pPr>
          </w:p>
        </w:tc>
        <w:tc>
          <w:tcPr>
            <w:tcW w:w="5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3.设置打卡规则，包括打卡频率、开始时间、结束时间。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875" w:type="dxa"/>
            <w:vMerge w:val="continue"/>
            <w:shd w:val="clear" w:color="auto" w:fill="auto"/>
            <w:vAlign w:val="center"/>
          </w:tcPr>
          <w:p>
            <w:pPr>
              <w:jc w:val="left"/>
              <w:rPr>
                <w:rFonts w:hint="eastAsia" w:ascii="宋体" w:hAnsi="宋体" w:eastAsia="宋体" w:cs="宋体"/>
                <w:i w:val="0"/>
                <w:iCs w:val="0"/>
                <w:color w:val="000000"/>
                <w:sz w:val="24"/>
                <w:szCs w:val="24"/>
                <w:u w:val="none"/>
              </w:rPr>
            </w:pPr>
          </w:p>
        </w:tc>
        <w:tc>
          <w:tcPr>
            <w:tcW w:w="5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4.支持上传取保候审决定书。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875"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监管执行</w:t>
            </w:r>
          </w:p>
        </w:tc>
        <w:tc>
          <w:tcPr>
            <w:tcW w:w="5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1.设置定时打卡规则：监管人给非羁押人员下发的定时打卡任务，通过任务的完成情况，判断非羁押人员的监管状态。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875" w:type="dxa"/>
            <w:vMerge w:val="continue"/>
            <w:shd w:val="clear" w:color="auto" w:fill="auto"/>
            <w:vAlign w:val="center"/>
          </w:tcPr>
          <w:p>
            <w:pPr>
              <w:jc w:val="left"/>
              <w:rPr>
                <w:rFonts w:hint="eastAsia" w:ascii="宋体" w:hAnsi="宋体" w:eastAsia="宋体" w:cs="宋体"/>
                <w:i w:val="0"/>
                <w:iCs w:val="0"/>
                <w:color w:val="000000"/>
                <w:sz w:val="24"/>
                <w:szCs w:val="24"/>
                <w:u w:val="none"/>
              </w:rPr>
            </w:pPr>
          </w:p>
        </w:tc>
        <w:tc>
          <w:tcPr>
            <w:tcW w:w="5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2.修改定时打卡规则：允许监管人调整监管中的非羁押人员打卡范围、打卡频率、打卡时间。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875" w:type="dxa"/>
            <w:vMerge w:val="continue"/>
            <w:shd w:val="clear" w:color="auto" w:fill="auto"/>
            <w:vAlign w:val="center"/>
          </w:tcPr>
          <w:p>
            <w:pPr>
              <w:jc w:val="left"/>
              <w:rPr>
                <w:rFonts w:hint="eastAsia" w:ascii="宋体" w:hAnsi="宋体" w:eastAsia="宋体" w:cs="宋体"/>
                <w:i w:val="0"/>
                <w:iCs w:val="0"/>
                <w:color w:val="000000"/>
                <w:sz w:val="24"/>
                <w:szCs w:val="24"/>
                <w:u w:val="none"/>
              </w:rPr>
            </w:pPr>
          </w:p>
        </w:tc>
        <w:tc>
          <w:tcPr>
            <w:tcW w:w="5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3.更改管控范围：支持调整非羁押人员的管控范围，便于根据非羁押人员自身的实际情况，进行管理，例如出现非羁押人员出差等情况。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875" w:type="dxa"/>
            <w:vMerge w:val="continue"/>
            <w:shd w:val="clear" w:color="auto" w:fill="auto"/>
            <w:vAlign w:val="center"/>
          </w:tcPr>
          <w:p>
            <w:pPr>
              <w:jc w:val="left"/>
              <w:rPr>
                <w:rFonts w:hint="eastAsia" w:ascii="宋体" w:hAnsi="宋体" w:eastAsia="宋体" w:cs="宋体"/>
                <w:i w:val="0"/>
                <w:iCs w:val="0"/>
                <w:color w:val="000000"/>
                <w:sz w:val="24"/>
                <w:szCs w:val="24"/>
                <w:u w:val="none"/>
              </w:rPr>
            </w:pPr>
          </w:p>
        </w:tc>
        <w:tc>
          <w:tcPr>
            <w:tcW w:w="5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4.申报审核：审核非羁押人员的申报记录，申报信息种类有：离开管控区域申报、解除监管申报、变更手机号申报、修改个人信息申报。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875" w:type="dxa"/>
            <w:vMerge w:val="continue"/>
            <w:shd w:val="clear" w:color="auto" w:fill="auto"/>
            <w:vAlign w:val="center"/>
          </w:tcPr>
          <w:p>
            <w:pPr>
              <w:jc w:val="left"/>
              <w:rPr>
                <w:rFonts w:hint="eastAsia" w:ascii="宋体" w:hAnsi="宋体" w:eastAsia="宋体" w:cs="宋体"/>
                <w:i w:val="0"/>
                <w:iCs w:val="0"/>
                <w:color w:val="000000"/>
                <w:sz w:val="24"/>
                <w:szCs w:val="24"/>
                <w:u w:val="none"/>
              </w:rPr>
            </w:pPr>
          </w:p>
        </w:tc>
        <w:tc>
          <w:tcPr>
            <w:tcW w:w="5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5.查阅申报记录：监管人有权查阅非羁押人员的申报记录、审核结果等信息。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875" w:type="dxa"/>
            <w:vMerge w:val="continue"/>
            <w:shd w:val="clear" w:color="auto" w:fill="auto"/>
            <w:vAlign w:val="center"/>
          </w:tcPr>
          <w:p>
            <w:pPr>
              <w:jc w:val="left"/>
              <w:rPr>
                <w:rFonts w:hint="eastAsia" w:ascii="宋体" w:hAnsi="宋体" w:eastAsia="宋体" w:cs="宋体"/>
                <w:i w:val="0"/>
                <w:iCs w:val="0"/>
                <w:color w:val="000000"/>
                <w:sz w:val="24"/>
                <w:szCs w:val="24"/>
                <w:u w:val="none"/>
              </w:rPr>
            </w:pPr>
          </w:p>
        </w:tc>
        <w:tc>
          <w:tcPr>
            <w:tcW w:w="5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6.完成监管：案件状态变更后，可根据实际情况完成监管。确认完成监管后，该非羁押人员信息存档封存。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875" w:type="dxa"/>
            <w:vMerge w:val="continue"/>
            <w:shd w:val="clear" w:color="auto" w:fill="auto"/>
            <w:vAlign w:val="center"/>
          </w:tcPr>
          <w:p>
            <w:pPr>
              <w:jc w:val="left"/>
              <w:rPr>
                <w:rFonts w:hint="eastAsia" w:ascii="宋体" w:hAnsi="宋体" w:eastAsia="宋体" w:cs="宋体"/>
                <w:i w:val="0"/>
                <w:iCs w:val="0"/>
                <w:color w:val="000000"/>
                <w:sz w:val="24"/>
                <w:szCs w:val="24"/>
                <w:u w:val="none"/>
              </w:rPr>
            </w:pPr>
          </w:p>
        </w:tc>
        <w:tc>
          <w:tcPr>
            <w:tcW w:w="5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平台支持主办监管人完成对该非羁押人员的监管，执行民警无权调整非羁押人员的监管状态。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875"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赋码机制</w:t>
            </w:r>
          </w:p>
        </w:tc>
        <w:tc>
          <w:tcPr>
            <w:tcW w:w="5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1.积分管理标准配置：按照公检法等机关一致决议通过的积分管理标准，系统统一配置积分管理执行标准，例如：骚扰被害人 -35：（通联、定位、被害人报警）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干扰证人 -35：（证人报警、碰面、通讯）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被害人谅解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875" w:type="dxa"/>
            <w:vMerge w:val="continue"/>
            <w:shd w:val="clear" w:color="auto" w:fill="auto"/>
            <w:vAlign w:val="center"/>
          </w:tcPr>
          <w:p>
            <w:pPr>
              <w:jc w:val="left"/>
              <w:rPr>
                <w:rFonts w:hint="eastAsia" w:ascii="宋体" w:hAnsi="宋体" w:eastAsia="宋体" w:cs="宋体"/>
                <w:i w:val="0"/>
                <w:iCs w:val="0"/>
                <w:color w:val="000000"/>
                <w:sz w:val="24"/>
                <w:szCs w:val="24"/>
                <w:u w:val="none"/>
              </w:rPr>
            </w:pPr>
          </w:p>
        </w:tc>
        <w:tc>
          <w:tcPr>
            <w:tcW w:w="5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2.积分日志：记录非羁押人员积分变动历史。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875" w:type="dxa"/>
            <w:vMerge w:val="continue"/>
            <w:shd w:val="clear" w:color="auto" w:fill="auto"/>
            <w:vAlign w:val="center"/>
          </w:tcPr>
          <w:p>
            <w:pPr>
              <w:jc w:val="left"/>
              <w:rPr>
                <w:rFonts w:hint="eastAsia" w:ascii="宋体" w:hAnsi="宋体" w:eastAsia="宋体" w:cs="宋体"/>
                <w:i w:val="0"/>
                <w:iCs w:val="0"/>
                <w:color w:val="000000"/>
                <w:sz w:val="24"/>
                <w:szCs w:val="24"/>
                <w:u w:val="none"/>
              </w:rPr>
            </w:pPr>
          </w:p>
        </w:tc>
        <w:tc>
          <w:tcPr>
            <w:tcW w:w="5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3.赋码评价：针对非羁押人员管理，建立非羁码评价系统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红码：0分～30分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黄码：30分～60分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绿码：60分～100分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最高分：100分，最低分：0分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新注册非羁押用户，起始分：60分，绿码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875" w:type="dxa"/>
            <w:vMerge w:val="continue"/>
            <w:shd w:val="clear" w:color="auto" w:fill="auto"/>
            <w:vAlign w:val="center"/>
          </w:tcPr>
          <w:p>
            <w:pPr>
              <w:jc w:val="left"/>
              <w:rPr>
                <w:rFonts w:hint="eastAsia" w:ascii="宋体" w:hAnsi="宋体" w:eastAsia="宋体" w:cs="宋体"/>
                <w:i w:val="0"/>
                <w:iCs w:val="0"/>
                <w:color w:val="000000"/>
                <w:sz w:val="24"/>
                <w:szCs w:val="24"/>
                <w:u w:val="none"/>
              </w:rPr>
            </w:pPr>
          </w:p>
        </w:tc>
        <w:tc>
          <w:tcPr>
            <w:tcW w:w="5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4.手动赋分：监管人根据非羁押人员的表现情况，触发积分规则，调整积分值。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875" w:type="dxa"/>
            <w:vMerge w:val="continue"/>
            <w:shd w:val="clear" w:color="auto" w:fill="auto"/>
            <w:vAlign w:val="center"/>
          </w:tcPr>
          <w:p>
            <w:pPr>
              <w:jc w:val="left"/>
              <w:rPr>
                <w:rFonts w:hint="eastAsia" w:ascii="宋体" w:hAnsi="宋体" w:eastAsia="宋体" w:cs="宋体"/>
                <w:i w:val="0"/>
                <w:iCs w:val="0"/>
                <w:color w:val="000000"/>
                <w:sz w:val="24"/>
                <w:szCs w:val="24"/>
                <w:u w:val="none"/>
              </w:rPr>
            </w:pPr>
          </w:p>
        </w:tc>
        <w:tc>
          <w:tcPr>
            <w:tcW w:w="5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5.积分撤销：监管人根据非羁押人员的表现情况，触发积分规则，调整积分值。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875"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预警信息管理</w:t>
            </w:r>
          </w:p>
        </w:tc>
        <w:tc>
          <w:tcPr>
            <w:tcW w:w="5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1.超时未打卡预警：当非羁押人员未在规定时间内打卡时，系统自动触发预警，监管人可在通知中心及监管中心查看。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875" w:type="dxa"/>
            <w:vMerge w:val="continue"/>
            <w:shd w:val="clear" w:color="auto" w:fill="auto"/>
            <w:vAlign w:val="center"/>
          </w:tcPr>
          <w:p>
            <w:pPr>
              <w:jc w:val="left"/>
              <w:rPr>
                <w:rFonts w:hint="eastAsia" w:ascii="宋体" w:hAnsi="宋体" w:eastAsia="宋体" w:cs="宋体"/>
                <w:i w:val="0"/>
                <w:iCs w:val="0"/>
                <w:color w:val="000000"/>
                <w:sz w:val="24"/>
                <w:szCs w:val="24"/>
                <w:u w:val="none"/>
              </w:rPr>
            </w:pPr>
          </w:p>
        </w:tc>
        <w:tc>
          <w:tcPr>
            <w:tcW w:w="5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2.出管控区域预警：当系统获取到非羁押人员的定位离开管控范围时，自动触发预警。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8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待办事项</w:t>
            </w:r>
          </w:p>
        </w:tc>
        <w:tc>
          <w:tcPr>
            <w:tcW w:w="5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汇集监管人的所有待处理事项，已完成或已超期的事项，不在此显示。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8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通知中心</w:t>
            </w:r>
          </w:p>
        </w:tc>
        <w:tc>
          <w:tcPr>
            <w:tcW w:w="5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展示用户的通知消息，包括：未完成打卡任务通知、超出管控范围通知、移送通知、非羁押人员完成传讯签字通知等。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8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短信提醒</w:t>
            </w:r>
          </w:p>
        </w:tc>
        <w:tc>
          <w:tcPr>
            <w:tcW w:w="5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为监管人提供短信提醒服务，针对紧要信息，平台自动向监管人发送短信提醒。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8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数据分析</w:t>
            </w:r>
          </w:p>
        </w:tc>
        <w:tc>
          <w:tcPr>
            <w:tcW w:w="5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监管数据统计：可通过移动端查看昨日监管数据（如打卡数据、预警数据）。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6"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6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受监管人员应用</w:t>
            </w:r>
          </w:p>
        </w:tc>
        <w:tc>
          <w:tcPr>
            <w:tcW w:w="18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登录注册</w:t>
            </w:r>
          </w:p>
        </w:tc>
        <w:tc>
          <w:tcPr>
            <w:tcW w:w="5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监管方录入非羁押人员信息后，非羁押人员方可实现注册，有效隔离无关用户。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8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非羁码</w:t>
            </w:r>
          </w:p>
        </w:tc>
        <w:tc>
          <w:tcPr>
            <w:tcW w:w="5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平台为每位非羁押人员提供独有的非羁码，监管者扫码，可查看该非羁押人员信息。非羁码包括：红码、黄码、绿码。可根据非羁码状态，直观判断该非羁押人员的表现情况。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8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待办事项</w:t>
            </w:r>
          </w:p>
        </w:tc>
        <w:tc>
          <w:tcPr>
            <w:tcW w:w="5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汇集非羁押人员所有待处理事项，已完成或已超期的事项，不在此显示。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875" w:type="dxa"/>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申报中心</w:t>
            </w:r>
          </w:p>
        </w:tc>
        <w:tc>
          <w:tcPr>
            <w:tcW w:w="5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1.发起申报请求：允许非羁押人员发起新的申报请求。申报信息种类有：离开管控区域申报、解除监管申报、变更手机号申报、修改个人信息申报。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875" w:type="dxa"/>
            <w:vMerge w:val="continue"/>
            <w:shd w:val="clear" w:color="auto" w:fill="auto"/>
            <w:vAlign w:val="center"/>
          </w:tcPr>
          <w:p>
            <w:pPr>
              <w:jc w:val="left"/>
              <w:rPr>
                <w:rFonts w:hint="eastAsia" w:ascii="宋体" w:hAnsi="宋体" w:eastAsia="宋体" w:cs="宋体"/>
                <w:i w:val="0"/>
                <w:iCs w:val="0"/>
                <w:color w:val="000000"/>
                <w:sz w:val="24"/>
                <w:szCs w:val="24"/>
                <w:u w:val="none"/>
              </w:rPr>
            </w:pPr>
          </w:p>
        </w:tc>
        <w:tc>
          <w:tcPr>
            <w:tcW w:w="5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2.查看历史申报记录：允许非羁押人员查看历史的申报记录。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875" w:type="dxa"/>
            <w:vMerge w:val="continue"/>
            <w:shd w:val="clear" w:color="auto" w:fill="auto"/>
            <w:vAlign w:val="center"/>
          </w:tcPr>
          <w:p>
            <w:pPr>
              <w:jc w:val="left"/>
              <w:rPr>
                <w:rFonts w:hint="eastAsia" w:ascii="宋体" w:hAnsi="宋体" w:eastAsia="宋体" w:cs="宋体"/>
                <w:i w:val="0"/>
                <w:iCs w:val="0"/>
                <w:color w:val="000000"/>
                <w:sz w:val="24"/>
                <w:szCs w:val="24"/>
                <w:u w:val="none"/>
              </w:rPr>
            </w:pPr>
          </w:p>
        </w:tc>
        <w:tc>
          <w:tcPr>
            <w:tcW w:w="5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3.查看申报审批结果：允许非羁押人员查看历史的申报结果、申报详情。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8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通知中心</w:t>
            </w:r>
          </w:p>
        </w:tc>
        <w:tc>
          <w:tcPr>
            <w:tcW w:w="5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展示用户的通知消息，包括：审核通知、预警通知等。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8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短信提醒</w:t>
            </w:r>
          </w:p>
        </w:tc>
        <w:tc>
          <w:tcPr>
            <w:tcW w:w="5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为非羁押人员提供短信提醒服务，针对紧要信息，平台自动向非羁押人员发送短信提醒。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8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打卡任务</w:t>
            </w:r>
          </w:p>
        </w:tc>
        <w:tc>
          <w:tcPr>
            <w:tcW w:w="5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非羁押人员点击打卡任务，完成人脸识别、位置坐标信息采集，即完成打卡任务。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6"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6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云服务器资源</w:t>
            </w:r>
          </w:p>
        </w:tc>
        <w:tc>
          <w:tcPr>
            <w:tcW w:w="18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云服务器</w:t>
            </w:r>
          </w:p>
        </w:tc>
        <w:tc>
          <w:tcPr>
            <w:tcW w:w="5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不小于4vCPUs | 8 GiB，系统盘40G， 存储 500G，10M 公网IP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8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数据库</w:t>
            </w:r>
          </w:p>
        </w:tc>
        <w:tc>
          <w:tcPr>
            <w:tcW w:w="5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不小于MySQL 4C8G 100G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8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缓存</w:t>
            </w:r>
          </w:p>
        </w:tc>
        <w:tc>
          <w:tcPr>
            <w:tcW w:w="5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不小于Redis 4G，单机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76"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6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其他服务</w:t>
            </w:r>
          </w:p>
        </w:tc>
        <w:tc>
          <w:tcPr>
            <w:tcW w:w="18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短信服务</w:t>
            </w:r>
          </w:p>
        </w:tc>
        <w:tc>
          <w:tcPr>
            <w:tcW w:w="5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不少于50条（人/月），1年使用人数为100人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8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人脸识别服务</w:t>
            </w:r>
          </w:p>
        </w:tc>
        <w:tc>
          <w:tcPr>
            <w:tcW w:w="5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人脸识别服务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8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地图服务</w:t>
            </w:r>
          </w:p>
        </w:tc>
        <w:tc>
          <w:tcPr>
            <w:tcW w:w="5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开源地图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76" w:type="dxa"/>
            <w:vMerge w:val="continue"/>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65" w:type="dxa"/>
            <w:vMerge w:val="continue"/>
            <w:shd w:val="clear" w:color="auto" w:fill="auto"/>
            <w:vAlign w:val="center"/>
          </w:tcPr>
          <w:p>
            <w:pPr>
              <w:jc w:val="center"/>
              <w:rPr>
                <w:rFonts w:hint="eastAsia" w:ascii="宋体" w:hAnsi="宋体" w:eastAsia="宋体" w:cs="宋体"/>
                <w:i w:val="0"/>
                <w:iCs w:val="0"/>
                <w:color w:val="000000"/>
                <w:sz w:val="24"/>
                <w:szCs w:val="24"/>
                <w:u w:val="none"/>
              </w:rPr>
            </w:pPr>
          </w:p>
        </w:tc>
        <w:tc>
          <w:tcPr>
            <w:tcW w:w="1875"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技术支持</w:t>
            </w:r>
          </w:p>
        </w:tc>
        <w:tc>
          <w:tcPr>
            <w:tcW w:w="53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软件系统运行的物理环境应根据实际情况以及国家安可替代进程，在条件成熟时过渡到安可服务器或安可云服务器，对软件系统进行安可替代。</w:t>
            </w:r>
          </w:p>
        </w:tc>
      </w:tr>
    </w:tbl>
    <w:p>
      <w:pPr>
        <w:tabs>
          <w:tab w:val="left" w:pos="351"/>
          <w:tab w:val="left" w:pos="816"/>
          <w:tab w:val="left" w:pos="951"/>
          <w:tab w:val="left" w:pos="2518"/>
        </w:tabs>
        <w:spacing w:line="460" w:lineRule="exact"/>
        <w:ind w:right="-50" w:rightChars="-24"/>
        <w:jc w:val="left"/>
        <w:rPr>
          <w:rFonts w:ascii="宋体" w:hAnsi="宋体" w:cs="宋体"/>
          <w:sz w:val="28"/>
          <w:szCs w:val="28"/>
        </w:rPr>
      </w:pPr>
    </w:p>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有关说明</w:t>
      </w:r>
    </w:p>
    <w:p>
      <w:pPr>
        <w:numPr>
          <w:ilvl w:val="1"/>
          <w:numId w:val="3"/>
        </w:numPr>
        <w:tabs>
          <w:tab w:val="left" w:pos="525"/>
          <w:tab w:val="left" w:pos="945"/>
        </w:tabs>
        <w:spacing w:line="360" w:lineRule="auto"/>
        <w:ind w:left="0" w:firstLine="525"/>
        <w:rPr>
          <w:rFonts w:ascii="宋体"/>
          <w:bCs/>
          <w:sz w:val="24"/>
        </w:rPr>
      </w:pPr>
      <w:r>
        <w:rPr>
          <w:rFonts w:hint="eastAsia" w:ascii="宋体" w:hAnsi="宋体"/>
          <w:bCs/>
          <w:sz w:val="24"/>
        </w:rPr>
        <w:t>投标总报价包括满足本项目要求的所有产品及其配件、包装、运杂、安装调试及售后服务等从项目中标起到项目正式交付以及质保期内所发生的一切费用。</w:t>
      </w:r>
    </w:p>
    <w:p>
      <w:pPr>
        <w:numPr>
          <w:ilvl w:val="1"/>
          <w:numId w:val="3"/>
        </w:numPr>
        <w:tabs>
          <w:tab w:val="left" w:pos="525"/>
          <w:tab w:val="left" w:pos="945"/>
        </w:tabs>
        <w:spacing w:line="360" w:lineRule="auto"/>
        <w:ind w:left="0" w:firstLine="525"/>
        <w:rPr>
          <w:rFonts w:ascii="宋体"/>
          <w:bCs/>
          <w:sz w:val="24"/>
        </w:rPr>
      </w:pPr>
      <w:r>
        <w:rPr>
          <w:rFonts w:hint="eastAsia" w:ascii="宋体" w:hAnsi="宋体" w:cs="宋体"/>
          <w:kern w:val="0"/>
          <w:sz w:val="24"/>
        </w:rPr>
        <w:t>依据财政部、发展改革委发布的《节能产品政府采购品目清单》，本项目采购如有政府强制采购节能产品（属于清单中打★品目的），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w:t>
      </w:r>
    </w:p>
    <w:p>
      <w:pPr>
        <w:numPr>
          <w:ilvl w:val="1"/>
          <w:numId w:val="3"/>
        </w:numPr>
        <w:tabs>
          <w:tab w:val="left" w:pos="525"/>
          <w:tab w:val="left" w:pos="945"/>
        </w:tabs>
        <w:spacing w:line="360" w:lineRule="auto"/>
        <w:ind w:left="0" w:firstLine="525"/>
        <w:rPr>
          <w:rFonts w:ascii="宋体"/>
          <w:bCs/>
          <w:sz w:val="24"/>
        </w:rPr>
      </w:pPr>
      <w:r>
        <w:rPr>
          <w:rFonts w:hint="eastAsia" w:ascii="宋体" w:hAnsi="宋体"/>
          <w:bCs/>
          <w:sz w:val="24"/>
        </w:rPr>
        <w:t>投标人必须在满足招标文件要求的基础上进行报价，如有技术偏离请于投标偏离表中说明。</w:t>
      </w:r>
    </w:p>
    <w:p>
      <w:pPr>
        <w:numPr>
          <w:ilvl w:val="1"/>
          <w:numId w:val="3"/>
        </w:numPr>
        <w:tabs>
          <w:tab w:val="left" w:pos="525"/>
          <w:tab w:val="left" w:pos="630"/>
          <w:tab w:val="left" w:pos="735"/>
          <w:tab w:val="left" w:pos="945"/>
        </w:tabs>
        <w:spacing w:line="360" w:lineRule="auto"/>
        <w:ind w:left="0" w:firstLine="525"/>
        <w:rPr>
          <w:rFonts w:ascii="宋体"/>
          <w:bCs/>
          <w:sz w:val="24"/>
        </w:rPr>
      </w:pPr>
      <w:r>
        <w:rPr>
          <w:rFonts w:hint="eastAsia" w:ascii="宋体" w:hAnsi="宋体"/>
          <w:bCs/>
          <w:sz w:val="24"/>
        </w:rPr>
        <w:t>质量及验收：采购人根据国家有关规定、招标文件、中标方的投标文件以及合同约定的内容和验收标准进行验收。验收情况作为支付货款的依据。如有质疑，以相关质量技术检验检测机构的检验结果为准，如产生检验费用，则该费用由过失方承担。</w:t>
      </w:r>
    </w:p>
    <w:p>
      <w:pPr>
        <w:numPr>
          <w:ilvl w:val="1"/>
          <w:numId w:val="3"/>
        </w:numPr>
        <w:tabs>
          <w:tab w:val="left" w:pos="525"/>
          <w:tab w:val="left" w:pos="630"/>
          <w:tab w:val="left" w:pos="735"/>
          <w:tab w:val="left" w:pos="945"/>
        </w:tabs>
        <w:spacing w:line="360" w:lineRule="auto"/>
        <w:ind w:left="0" w:firstLine="525"/>
      </w:pPr>
      <w:r>
        <w:rPr>
          <w:rFonts w:hint="eastAsia" w:ascii="宋体" w:hAnsi="宋体"/>
          <w:bCs/>
          <w:sz w:val="24"/>
        </w:rPr>
        <w:t>依据《政府采购促进中小企业发展管理办法》规定享受扶持政策获得政府采购合同的，小微企业不得将合同分包给大中型企业，中型企业不得将合同分包给大型企业。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079DB0"/>
    <w:multiLevelType w:val="multilevel"/>
    <w:tmpl w:val="DA079DB0"/>
    <w:lvl w:ilvl="0" w:tentative="0">
      <w:start w:val="1"/>
      <w:numFmt w:val="chineseCounting"/>
      <w:pStyle w:val="3"/>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pStyle w:val="5"/>
      <w:isLgl/>
      <w:lvlText w:val="%1.%2.%3."/>
      <w:lvlJc w:val="left"/>
      <w:pPr>
        <w:ind w:left="720" w:hanging="720"/>
      </w:pPr>
      <w:rPr>
        <w:rFonts w:hint="eastAsia"/>
      </w:rPr>
    </w:lvl>
    <w:lvl w:ilvl="3" w:tentative="0">
      <w:start w:val="1"/>
      <w:numFmt w:val="decimal"/>
      <w:pStyle w:val="6"/>
      <w:isLgl/>
      <w:lvlText w:val="%1.%2.%3.%4."/>
      <w:lvlJc w:val="left"/>
      <w:pPr>
        <w:ind w:left="864" w:hanging="864"/>
      </w:pPr>
      <w:rPr>
        <w:rFonts w:hint="eastAsia"/>
      </w:rPr>
    </w:lvl>
    <w:lvl w:ilvl="4" w:tentative="0">
      <w:start w:val="1"/>
      <w:numFmt w:val="decimal"/>
      <w:pStyle w:val="7"/>
      <w:isLgl/>
      <w:lvlText w:val="%1.%2.%3.%4.%5."/>
      <w:lvlJc w:val="left"/>
      <w:pPr>
        <w:ind w:left="1008" w:hanging="1008"/>
      </w:pPr>
      <w:rPr>
        <w:rFonts w:hint="eastAsia"/>
      </w:rPr>
    </w:lvl>
    <w:lvl w:ilvl="5" w:tentative="0">
      <w:start w:val="1"/>
      <w:numFmt w:val="decimal"/>
      <w:pStyle w:val="8"/>
      <w:isLgl/>
      <w:lvlText w:val="%1.%2.%3.%4.%5.%6."/>
      <w:lvlJc w:val="left"/>
      <w:pPr>
        <w:ind w:left="1151" w:hanging="1151"/>
      </w:pPr>
      <w:rPr>
        <w:rFonts w:hint="eastAsia"/>
      </w:rPr>
    </w:lvl>
    <w:lvl w:ilvl="6" w:tentative="0">
      <w:start w:val="1"/>
      <w:numFmt w:val="decimal"/>
      <w:pStyle w:val="9"/>
      <w:isLgl/>
      <w:lvlText w:val="%1.%2.%3.%4.%5.%6.%7."/>
      <w:lvlJc w:val="left"/>
      <w:pPr>
        <w:ind w:left="1296" w:hanging="1296"/>
      </w:pPr>
      <w:rPr>
        <w:rFonts w:hint="eastAsia"/>
      </w:rPr>
    </w:lvl>
    <w:lvl w:ilvl="7" w:tentative="0">
      <w:start w:val="1"/>
      <w:numFmt w:val="decimal"/>
      <w:pStyle w:val="10"/>
      <w:isLgl/>
      <w:lvlText w:val="%1.%2.%3.%4.%5.%6.%7.%8."/>
      <w:lvlJc w:val="left"/>
      <w:pPr>
        <w:ind w:left="1440" w:hanging="1440"/>
      </w:pPr>
      <w:rPr>
        <w:rFonts w:hint="eastAsia"/>
      </w:rPr>
    </w:lvl>
    <w:lvl w:ilvl="8" w:tentative="0">
      <w:start w:val="1"/>
      <w:numFmt w:val="decimal"/>
      <w:pStyle w:val="11"/>
      <w:isLgl/>
      <w:lvlText w:val="%1.%2.%3.%4.%5.%6.%7.%8.%9."/>
      <w:lvlJc w:val="left"/>
      <w:pPr>
        <w:ind w:left="1583" w:hanging="1583"/>
      </w:pPr>
      <w:rPr>
        <w:rFonts w:hint="eastAsia"/>
      </w:rPr>
    </w:lvl>
  </w:abstractNum>
  <w:abstractNum w:abstractNumId="1">
    <w:nsid w:val="FFAD3023"/>
    <w:multiLevelType w:val="multilevel"/>
    <w:tmpl w:val="FFAD3023"/>
    <w:lvl w:ilvl="0" w:tentative="0">
      <w:start w:val="1"/>
      <w:numFmt w:val="chineseCounting"/>
      <w:suff w:val="nothing"/>
      <w:lvlText w:val="%1、"/>
      <w:lvlJc w:val="left"/>
      <w:pPr>
        <w:ind w:left="0" w:firstLine="420"/>
      </w:pPr>
      <w:rPr>
        <w:rFonts w:hint="eastAsia"/>
      </w:rPr>
    </w:lvl>
    <w:lvl w:ilvl="1" w:tentative="0">
      <w:start w:val="1"/>
      <w:numFmt w:val="decimal"/>
      <w:pStyle w:val="4"/>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2">
    <w:nsid w:val="10926BFE"/>
    <w:multiLevelType w:val="multilevel"/>
    <w:tmpl w:val="10926BFE"/>
    <w:lvl w:ilvl="0" w:tentative="0">
      <w:start w:val="1"/>
      <w:numFmt w:val="japaneseCounting"/>
      <w:lvlText w:val="（%1）"/>
      <w:lvlJc w:val="left"/>
      <w:pPr>
        <w:tabs>
          <w:tab w:val="left" w:pos="1080"/>
        </w:tabs>
        <w:ind w:left="1080" w:hanging="1080"/>
      </w:pPr>
    </w:lvl>
    <w:lvl w:ilvl="1" w:tentative="0">
      <w:start w:val="1"/>
      <w:numFmt w:val="decimal"/>
      <w:lvlText w:val="%2."/>
      <w:lvlJc w:val="left"/>
      <w:pPr>
        <w:tabs>
          <w:tab w:val="left" w:pos="780"/>
        </w:tabs>
        <w:ind w:left="780" w:hanging="360"/>
      </w:pPr>
      <w:rPr>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JhNmNhYjU5MTkyZjQ4YzViMWEzNWVmNzQ2OWRmMzgifQ=="/>
  </w:docVars>
  <w:rsids>
    <w:rsidRoot w:val="009E5287"/>
    <w:rsid w:val="00104AEC"/>
    <w:rsid w:val="00150B47"/>
    <w:rsid w:val="00163D2D"/>
    <w:rsid w:val="00184579"/>
    <w:rsid w:val="002333D7"/>
    <w:rsid w:val="00297C31"/>
    <w:rsid w:val="004108E3"/>
    <w:rsid w:val="004366ED"/>
    <w:rsid w:val="00445FF6"/>
    <w:rsid w:val="004C25EC"/>
    <w:rsid w:val="00561394"/>
    <w:rsid w:val="0056498B"/>
    <w:rsid w:val="005E1110"/>
    <w:rsid w:val="00691B8B"/>
    <w:rsid w:val="006D2519"/>
    <w:rsid w:val="0076042E"/>
    <w:rsid w:val="00785361"/>
    <w:rsid w:val="007B437F"/>
    <w:rsid w:val="00862331"/>
    <w:rsid w:val="008D18B1"/>
    <w:rsid w:val="008D21F5"/>
    <w:rsid w:val="008E3660"/>
    <w:rsid w:val="008F0893"/>
    <w:rsid w:val="008F56F8"/>
    <w:rsid w:val="009D3DA3"/>
    <w:rsid w:val="009E5287"/>
    <w:rsid w:val="00A2668A"/>
    <w:rsid w:val="00A5633F"/>
    <w:rsid w:val="00AE2C60"/>
    <w:rsid w:val="00AF01AB"/>
    <w:rsid w:val="00AF55B1"/>
    <w:rsid w:val="00AF7B98"/>
    <w:rsid w:val="00B0379C"/>
    <w:rsid w:val="00B766D7"/>
    <w:rsid w:val="00BB7C76"/>
    <w:rsid w:val="00C05439"/>
    <w:rsid w:val="00C47CED"/>
    <w:rsid w:val="00C546E2"/>
    <w:rsid w:val="00C571E7"/>
    <w:rsid w:val="00C710D5"/>
    <w:rsid w:val="00CD1402"/>
    <w:rsid w:val="00D25F40"/>
    <w:rsid w:val="00D71F39"/>
    <w:rsid w:val="00DF670A"/>
    <w:rsid w:val="00E45A89"/>
    <w:rsid w:val="00E54373"/>
    <w:rsid w:val="00EB5468"/>
    <w:rsid w:val="00F71FD3"/>
    <w:rsid w:val="01DC0C1D"/>
    <w:rsid w:val="01EB6738"/>
    <w:rsid w:val="01F84CCA"/>
    <w:rsid w:val="023971A0"/>
    <w:rsid w:val="025A5C68"/>
    <w:rsid w:val="02906142"/>
    <w:rsid w:val="02975ACD"/>
    <w:rsid w:val="029B44D3"/>
    <w:rsid w:val="03001C79"/>
    <w:rsid w:val="032B6341"/>
    <w:rsid w:val="038971DB"/>
    <w:rsid w:val="044B421A"/>
    <w:rsid w:val="04536448"/>
    <w:rsid w:val="045B44B4"/>
    <w:rsid w:val="047835CA"/>
    <w:rsid w:val="047C24E0"/>
    <w:rsid w:val="04BD7173"/>
    <w:rsid w:val="04C40660"/>
    <w:rsid w:val="04F01EE9"/>
    <w:rsid w:val="055A65D5"/>
    <w:rsid w:val="05897AB4"/>
    <w:rsid w:val="06557EFE"/>
    <w:rsid w:val="06680D11"/>
    <w:rsid w:val="07C766CF"/>
    <w:rsid w:val="07EE1E12"/>
    <w:rsid w:val="08965AA3"/>
    <w:rsid w:val="090649E2"/>
    <w:rsid w:val="098A3C96"/>
    <w:rsid w:val="09937F44"/>
    <w:rsid w:val="09B40479"/>
    <w:rsid w:val="09DE6F94"/>
    <w:rsid w:val="09E96EE0"/>
    <w:rsid w:val="0A0855DF"/>
    <w:rsid w:val="0A713683"/>
    <w:rsid w:val="0ACA5A42"/>
    <w:rsid w:val="0B0D3F2D"/>
    <w:rsid w:val="0B557BA5"/>
    <w:rsid w:val="0BD219A3"/>
    <w:rsid w:val="0BF751B0"/>
    <w:rsid w:val="0C223A75"/>
    <w:rsid w:val="0C4D233B"/>
    <w:rsid w:val="0CCA2147"/>
    <w:rsid w:val="0F165A67"/>
    <w:rsid w:val="0F476BAA"/>
    <w:rsid w:val="0F745548"/>
    <w:rsid w:val="0F7718EE"/>
    <w:rsid w:val="0FF56939"/>
    <w:rsid w:val="0FFE2CF5"/>
    <w:rsid w:val="10765998"/>
    <w:rsid w:val="108C134F"/>
    <w:rsid w:val="11196A9C"/>
    <w:rsid w:val="115049F7"/>
    <w:rsid w:val="11617D1F"/>
    <w:rsid w:val="11651BDC"/>
    <w:rsid w:val="11853BCD"/>
    <w:rsid w:val="12EE149E"/>
    <w:rsid w:val="138D43C3"/>
    <w:rsid w:val="138E1A23"/>
    <w:rsid w:val="13C63C35"/>
    <w:rsid w:val="149556F7"/>
    <w:rsid w:val="14AF483E"/>
    <w:rsid w:val="14C17ED5"/>
    <w:rsid w:val="14D117AE"/>
    <w:rsid w:val="14E31EB4"/>
    <w:rsid w:val="154148ED"/>
    <w:rsid w:val="16227579"/>
    <w:rsid w:val="16980722"/>
    <w:rsid w:val="169C38A4"/>
    <w:rsid w:val="16B212CB"/>
    <w:rsid w:val="16E00318"/>
    <w:rsid w:val="17125351"/>
    <w:rsid w:val="17197250"/>
    <w:rsid w:val="176D617B"/>
    <w:rsid w:val="17E44EC0"/>
    <w:rsid w:val="1800023D"/>
    <w:rsid w:val="180311B0"/>
    <w:rsid w:val="188E1AD6"/>
    <w:rsid w:val="19DA2643"/>
    <w:rsid w:val="1A135155"/>
    <w:rsid w:val="1A2C027D"/>
    <w:rsid w:val="1AA823C0"/>
    <w:rsid w:val="1BC67986"/>
    <w:rsid w:val="1DC60DE9"/>
    <w:rsid w:val="1DD950D8"/>
    <w:rsid w:val="1DE3312C"/>
    <w:rsid w:val="1E1B62F5"/>
    <w:rsid w:val="1E3474C8"/>
    <w:rsid w:val="1EB60066"/>
    <w:rsid w:val="1EDC7743"/>
    <w:rsid w:val="1F971355"/>
    <w:rsid w:val="1FA95965"/>
    <w:rsid w:val="1FC233E2"/>
    <w:rsid w:val="20DE6DFD"/>
    <w:rsid w:val="20EE2447"/>
    <w:rsid w:val="210C0BC6"/>
    <w:rsid w:val="211B7D86"/>
    <w:rsid w:val="212A7113"/>
    <w:rsid w:val="2197693C"/>
    <w:rsid w:val="22491DBE"/>
    <w:rsid w:val="22A805E7"/>
    <w:rsid w:val="2302273A"/>
    <w:rsid w:val="23102595"/>
    <w:rsid w:val="234D45F8"/>
    <w:rsid w:val="23F2637D"/>
    <w:rsid w:val="24682DBA"/>
    <w:rsid w:val="24C148B0"/>
    <w:rsid w:val="24E33203"/>
    <w:rsid w:val="25AF2B4C"/>
    <w:rsid w:val="25F807A6"/>
    <w:rsid w:val="26BE238D"/>
    <w:rsid w:val="26C15A4B"/>
    <w:rsid w:val="27A4415D"/>
    <w:rsid w:val="27A54041"/>
    <w:rsid w:val="28164551"/>
    <w:rsid w:val="28EE2036"/>
    <w:rsid w:val="29116D2E"/>
    <w:rsid w:val="29C1200E"/>
    <w:rsid w:val="2A9D5BFE"/>
    <w:rsid w:val="2AD56653"/>
    <w:rsid w:val="2B261CF2"/>
    <w:rsid w:val="2B6E0DD0"/>
    <w:rsid w:val="2C4E2B4A"/>
    <w:rsid w:val="2C870CBE"/>
    <w:rsid w:val="2C912A2E"/>
    <w:rsid w:val="2C9B2F5F"/>
    <w:rsid w:val="2D036C68"/>
    <w:rsid w:val="2D0A1CDF"/>
    <w:rsid w:val="2DBC4B19"/>
    <w:rsid w:val="2E0D03E7"/>
    <w:rsid w:val="2F0234EA"/>
    <w:rsid w:val="2FF26266"/>
    <w:rsid w:val="30052AD8"/>
    <w:rsid w:val="3023545C"/>
    <w:rsid w:val="30DF243B"/>
    <w:rsid w:val="30FB1D6B"/>
    <w:rsid w:val="316C6A6B"/>
    <w:rsid w:val="31883DCA"/>
    <w:rsid w:val="31B010B0"/>
    <w:rsid w:val="31D97B8F"/>
    <w:rsid w:val="32076BD9"/>
    <w:rsid w:val="33814051"/>
    <w:rsid w:val="34142358"/>
    <w:rsid w:val="342E0B07"/>
    <w:rsid w:val="34802932"/>
    <w:rsid w:val="34D57E3D"/>
    <w:rsid w:val="35C60861"/>
    <w:rsid w:val="363E0577"/>
    <w:rsid w:val="365809A8"/>
    <w:rsid w:val="365921B8"/>
    <w:rsid w:val="36C07219"/>
    <w:rsid w:val="37176717"/>
    <w:rsid w:val="37347E4C"/>
    <w:rsid w:val="374D5F48"/>
    <w:rsid w:val="388D2A42"/>
    <w:rsid w:val="38A8605B"/>
    <w:rsid w:val="38C21E40"/>
    <w:rsid w:val="38C86AB9"/>
    <w:rsid w:val="39A43E9E"/>
    <w:rsid w:val="39AB21B0"/>
    <w:rsid w:val="3A5403CA"/>
    <w:rsid w:val="3A5D10CE"/>
    <w:rsid w:val="3A7B16D0"/>
    <w:rsid w:val="3C675A00"/>
    <w:rsid w:val="3C92434B"/>
    <w:rsid w:val="3CAA4823"/>
    <w:rsid w:val="3D066CA9"/>
    <w:rsid w:val="3D4B12A4"/>
    <w:rsid w:val="3D77100D"/>
    <w:rsid w:val="3DBB6E98"/>
    <w:rsid w:val="3DC50166"/>
    <w:rsid w:val="3E3D2A7B"/>
    <w:rsid w:val="3EDE66B4"/>
    <w:rsid w:val="3FA00265"/>
    <w:rsid w:val="42267415"/>
    <w:rsid w:val="422B2301"/>
    <w:rsid w:val="422F0BDF"/>
    <w:rsid w:val="42DE4C95"/>
    <w:rsid w:val="444E7AE4"/>
    <w:rsid w:val="447E39F6"/>
    <w:rsid w:val="46B71125"/>
    <w:rsid w:val="496A7831"/>
    <w:rsid w:val="497D2E9F"/>
    <w:rsid w:val="49A330DF"/>
    <w:rsid w:val="49BC05CA"/>
    <w:rsid w:val="49E74ACD"/>
    <w:rsid w:val="4A030B7A"/>
    <w:rsid w:val="4A0E278E"/>
    <w:rsid w:val="4A124451"/>
    <w:rsid w:val="4A857E01"/>
    <w:rsid w:val="4BB927CA"/>
    <w:rsid w:val="4C1E2465"/>
    <w:rsid w:val="4C5C5856"/>
    <w:rsid w:val="4C5F03CA"/>
    <w:rsid w:val="4C75097F"/>
    <w:rsid w:val="4CF23CFF"/>
    <w:rsid w:val="4D3D4B44"/>
    <w:rsid w:val="4D536CE8"/>
    <w:rsid w:val="4D584168"/>
    <w:rsid w:val="4D937AD1"/>
    <w:rsid w:val="4E263853"/>
    <w:rsid w:val="4E70356A"/>
    <w:rsid w:val="4EB50856"/>
    <w:rsid w:val="4F9F2130"/>
    <w:rsid w:val="4FE2609D"/>
    <w:rsid w:val="50637D2B"/>
    <w:rsid w:val="50C9697A"/>
    <w:rsid w:val="50FA4831"/>
    <w:rsid w:val="51F1272E"/>
    <w:rsid w:val="520D572D"/>
    <w:rsid w:val="52164F72"/>
    <w:rsid w:val="5288688A"/>
    <w:rsid w:val="52B753C1"/>
    <w:rsid w:val="52E72E92"/>
    <w:rsid w:val="53042A11"/>
    <w:rsid w:val="5333550F"/>
    <w:rsid w:val="534A5134"/>
    <w:rsid w:val="534B2BB6"/>
    <w:rsid w:val="539B627E"/>
    <w:rsid w:val="53C526AB"/>
    <w:rsid w:val="54265D9C"/>
    <w:rsid w:val="54613BC1"/>
    <w:rsid w:val="557760B0"/>
    <w:rsid w:val="55B00396"/>
    <w:rsid w:val="55C73B6D"/>
    <w:rsid w:val="56AB35F6"/>
    <w:rsid w:val="56C7506B"/>
    <w:rsid w:val="575823DC"/>
    <w:rsid w:val="57915F62"/>
    <w:rsid w:val="58153B5B"/>
    <w:rsid w:val="58774DB2"/>
    <w:rsid w:val="591923BD"/>
    <w:rsid w:val="594647A8"/>
    <w:rsid w:val="598C383D"/>
    <w:rsid w:val="59F93C29"/>
    <w:rsid w:val="5A53303E"/>
    <w:rsid w:val="5ABD1CE8"/>
    <w:rsid w:val="5B14567A"/>
    <w:rsid w:val="5B2D4026"/>
    <w:rsid w:val="5BB167FD"/>
    <w:rsid w:val="5BDF1567"/>
    <w:rsid w:val="5C8267E6"/>
    <w:rsid w:val="5C8567D6"/>
    <w:rsid w:val="5C886D95"/>
    <w:rsid w:val="5CB937AD"/>
    <w:rsid w:val="5D281862"/>
    <w:rsid w:val="5D42240C"/>
    <w:rsid w:val="5D65386F"/>
    <w:rsid w:val="5D890602"/>
    <w:rsid w:val="5DB15F43"/>
    <w:rsid w:val="5DF55733"/>
    <w:rsid w:val="5E677FF0"/>
    <w:rsid w:val="5EC17405"/>
    <w:rsid w:val="5FB01347"/>
    <w:rsid w:val="5FD011DC"/>
    <w:rsid w:val="60CA77DA"/>
    <w:rsid w:val="60FF71F2"/>
    <w:rsid w:val="61813705"/>
    <w:rsid w:val="622E0FFF"/>
    <w:rsid w:val="623F4DBD"/>
    <w:rsid w:val="62405FB1"/>
    <w:rsid w:val="62505FC4"/>
    <w:rsid w:val="62604960"/>
    <w:rsid w:val="626671FB"/>
    <w:rsid w:val="627B52F2"/>
    <w:rsid w:val="62C60519"/>
    <w:rsid w:val="62F27420"/>
    <w:rsid w:val="63543EE9"/>
    <w:rsid w:val="639D05A8"/>
    <w:rsid w:val="640255F8"/>
    <w:rsid w:val="64067892"/>
    <w:rsid w:val="640843A9"/>
    <w:rsid w:val="64180D39"/>
    <w:rsid w:val="64634AC2"/>
    <w:rsid w:val="64BC7B6C"/>
    <w:rsid w:val="65187A69"/>
    <w:rsid w:val="65954E34"/>
    <w:rsid w:val="65EF7ACC"/>
    <w:rsid w:val="66050245"/>
    <w:rsid w:val="670B151E"/>
    <w:rsid w:val="67FE4D0E"/>
    <w:rsid w:val="68CC022F"/>
    <w:rsid w:val="690241B4"/>
    <w:rsid w:val="6924760F"/>
    <w:rsid w:val="6B047A18"/>
    <w:rsid w:val="6B5F6337"/>
    <w:rsid w:val="6B934D97"/>
    <w:rsid w:val="6BC502F6"/>
    <w:rsid w:val="6BC5310F"/>
    <w:rsid w:val="6C172E65"/>
    <w:rsid w:val="6C6D5DF2"/>
    <w:rsid w:val="6CDB1F80"/>
    <w:rsid w:val="6D280A49"/>
    <w:rsid w:val="6DE94340"/>
    <w:rsid w:val="6EAB2E1E"/>
    <w:rsid w:val="6F4C439B"/>
    <w:rsid w:val="6F794770"/>
    <w:rsid w:val="6FEA3B98"/>
    <w:rsid w:val="6FFA0929"/>
    <w:rsid w:val="70141305"/>
    <w:rsid w:val="70993461"/>
    <w:rsid w:val="70C57A4B"/>
    <w:rsid w:val="70CF2B23"/>
    <w:rsid w:val="71286A35"/>
    <w:rsid w:val="713A21D2"/>
    <w:rsid w:val="725007C2"/>
    <w:rsid w:val="7252741C"/>
    <w:rsid w:val="72844356"/>
    <w:rsid w:val="72B574C1"/>
    <w:rsid w:val="72BD1E6D"/>
    <w:rsid w:val="72DA05FA"/>
    <w:rsid w:val="72FE07B5"/>
    <w:rsid w:val="732114CE"/>
    <w:rsid w:val="73435848"/>
    <w:rsid w:val="7388529A"/>
    <w:rsid w:val="738A079E"/>
    <w:rsid w:val="74BB4393"/>
    <w:rsid w:val="75457490"/>
    <w:rsid w:val="758E1C26"/>
    <w:rsid w:val="75BD46DB"/>
    <w:rsid w:val="768D5A0A"/>
    <w:rsid w:val="76D83316"/>
    <w:rsid w:val="77401B33"/>
    <w:rsid w:val="77E772B1"/>
    <w:rsid w:val="7828402F"/>
    <w:rsid w:val="78737598"/>
    <w:rsid w:val="78881EB5"/>
    <w:rsid w:val="78E14C79"/>
    <w:rsid w:val="78EE2006"/>
    <w:rsid w:val="7A3F6C1D"/>
    <w:rsid w:val="7A6D4269"/>
    <w:rsid w:val="7A907606"/>
    <w:rsid w:val="7A96762C"/>
    <w:rsid w:val="7ACA4603"/>
    <w:rsid w:val="7AE91D0C"/>
    <w:rsid w:val="7BDC5DE9"/>
    <w:rsid w:val="7C9B6A7C"/>
    <w:rsid w:val="7CF63915"/>
    <w:rsid w:val="7D7200B6"/>
    <w:rsid w:val="7DBC03C9"/>
    <w:rsid w:val="7DDB7408"/>
    <w:rsid w:val="7EA2394E"/>
    <w:rsid w:val="7EB30005"/>
    <w:rsid w:val="7EEF3091"/>
    <w:rsid w:val="7F586BCD"/>
    <w:rsid w:val="7FC51889"/>
    <w:rsid w:val="BB8F48B6"/>
    <w:rsid w:val="FFF26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4"/>
    <w:qFormat/>
    <w:uiPriority w:val="0"/>
    <w:pPr>
      <w:keepNext/>
      <w:keepLines/>
      <w:numPr>
        <w:ilvl w:val="0"/>
        <w:numId w:val="1"/>
      </w:numPr>
      <w:spacing w:before="340" w:after="330" w:line="360" w:lineRule="auto"/>
      <w:jc w:val="center"/>
      <w:outlineLvl w:val="0"/>
    </w:pPr>
    <w:rPr>
      <w:rFonts w:eastAsia="楷体"/>
      <w:b/>
      <w:kern w:val="44"/>
      <w:sz w:val="44"/>
      <w:szCs w:val="22"/>
    </w:rPr>
  </w:style>
  <w:style w:type="paragraph" w:styleId="4">
    <w:name w:val="heading 2"/>
    <w:basedOn w:val="1"/>
    <w:next w:val="1"/>
    <w:link w:val="23"/>
    <w:unhideWhenUsed/>
    <w:qFormat/>
    <w:uiPriority w:val="0"/>
    <w:pPr>
      <w:keepNext/>
      <w:keepLines/>
      <w:numPr>
        <w:ilvl w:val="1"/>
        <w:numId w:val="2"/>
      </w:numPr>
      <w:spacing w:line="360" w:lineRule="auto"/>
      <w:ind w:left="573" w:hanging="573"/>
      <w:jc w:val="left"/>
      <w:outlineLvl w:val="1"/>
    </w:pPr>
    <w:rPr>
      <w:rFonts w:ascii="Arial" w:hAnsi="Arial" w:eastAsia="楷体"/>
      <w:b/>
      <w:kern w:val="0"/>
      <w:sz w:val="32"/>
      <w:szCs w:val="20"/>
    </w:rPr>
  </w:style>
  <w:style w:type="paragraph" w:styleId="5">
    <w:name w:val="heading 3"/>
    <w:basedOn w:val="1"/>
    <w:next w:val="1"/>
    <w:link w:val="25"/>
    <w:semiHidden/>
    <w:unhideWhenUsed/>
    <w:qFormat/>
    <w:uiPriority w:val="0"/>
    <w:pPr>
      <w:keepNext/>
      <w:keepLines/>
      <w:numPr>
        <w:ilvl w:val="2"/>
        <w:numId w:val="1"/>
      </w:numPr>
      <w:spacing w:before="260" w:after="260" w:line="413" w:lineRule="auto"/>
      <w:outlineLvl w:val="2"/>
    </w:pPr>
    <w:rPr>
      <w:rFonts w:ascii="Times New Roman" w:hAnsi="Times New Roman" w:eastAsia="楷体"/>
      <w:b/>
      <w:sz w:val="32"/>
      <w:szCs w:val="22"/>
    </w:rPr>
  </w:style>
  <w:style w:type="paragraph" w:styleId="6">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8">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10">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w:basedOn w:val="1"/>
    <w:next w:val="1"/>
    <w:qFormat/>
    <w:uiPriority w:val="99"/>
    <w:rPr>
      <w:kern w:val="0"/>
    </w:rPr>
  </w:style>
  <w:style w:type="paragraph" w:styleId="13">
    <w:name w:val="Body Text Indent"/>
    <w:basedOn w:val="1"/>
    <w:qFormat/>
    <w:uiPriority w:val="99"/>
    <w:pPr>
      <w:spacing w:line="240" w:lineRule="atLeast"/>
      <w:ind w:firstLine="390"/>
    </w:pPr>
    <w:rPr>
      <w:rFonts w:ascii="宋体" w:hAnsi="宋体" w:eastAsia="仿宋_GB2312"/>
    </w:rPr>
  </w:style>
  <w:style w:type="paragraph" w:styleId="14">
    <w:name w:val="Plain Text"/>
    <w:basedOn w:val="1"/>
    <w:qFormat/>
    <w:uiPriority w:val="99"/>
    <w:rPr>
      <w:rFonts w:ascii="宋体" w:hAnsi="Courier New" w:cs="Courier New"/>
      <w:szCs w:val="21"/>
    </w:rPr>
  </w:style>
  <w:style w:type="paragraph" w:styleId="15">
    <w:name w:val="footer"/>
    <w:basedOn w:val="1"/>
    <w:link w:val="37"/>
    <w:qFormat/>
    <w:uiPriority w:val="0"/>
    <w:pPr>
      <w:tabs>
        <w:tab w:val="center" w:pos="4153"/>
        <w:tab w:val="right" w:pos="8306"/>
      </w:tabs>
      <w:snapToGrid w:val="0"/>
      <w:jc w:val="left"/>
    </w:pPr>
    <w:rPr>
      <w:sz w:val="18"/>
      <w:szCs w:val="18"/>
    </w:rPr>
  </w:style>
  <w:style w:type="paragraph" w:styleId="16">
    <w:name w:val="toc 1"/>
    <w:basedOn w:val="1"/>
    <w:next w:val="1"/>
    <w:qFormat/>
    <w:uiPriority w:val="39"/>
  </w:style>
  <w:style w:type="paragraph" w:styleId="17">
    <w:name w:val="Normal (Web)"/>
    <w:basedOn w:val="1"/>
    <w:unhideWhenUsed/>
    <w:qFormat/>
    <w:uiPriority w:val="99"/>
    <w:pPr>
      <w:jc w:val="left"/>
    </w:pPr>
    <w:rPr>
      <w:kern w:val="0"/>
      <w:sz w:val="24"/>
    </w:rPr>
  </w:style>
  <w:style w:type="paragraph" w:styleId="18">
    <w:name w:val="Body Text First Indent"/>
    <w:basedOn w:val="12"/>
    <w:qFormat/>
    <w:uiPriority w:val="0"/>
    <w:pPr>
      <w:spacing w:after="120"/>
      <w:ind w:firstLine="420" w:firstLineChars="100"/>
    </w:pPr>
  </w:style>
  <w:style w:type="paragraph" w:styleId="19">
    <w:name w:val="Body Text First Indent 2"/>
    <w:basedOn w:val="13"/>
    <w:qFormat/>
    <w:uiPriority w:val="0"/>
    <w:pPr>
      <w:ind w:firstLine="420" w:firstLineChars="200"/>
    </w:p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标题 2 字符"/>
    <w:link w:val="4"/>
    <w:qFormat/>
    <w:uiPriority w:val="0"/>
    <w:rPr>
      <w:rFonts w:ascii="Arial" w:hAnsi="Arial" w:eastAsia="楷体" w:cs="Times New Roman"/>
      <w:b/>
      <w:kern w:val="0"/>
      <w:sz w:val="32"/>
      <w:szCs w:val="20"/>
    </w:rPr>
  </w:style>
  <w:style w:type="paragraph" w:customStyle="1" w:styleId="24">
    <w:name w:val="正文缩进1"/>
    <w:basedOn w:val="1"/>
    <w:qFormat/>
    <w:uiPriority w:val="99"/>
    <w:pPr>
      <w:ind w:firstLine="200" w:firstLineChars="200"/>
    </w:pPr>
  </w:style>
  <w:style w:type="character" w:customStyle="1" w:styleId="25">
    <w:name w:val="标题 3 字符"/>
    <w:link w:val="5"/>
    <w:qFormat/>
    <w:uiPriority w:val="0"/>
    <w:rPr>
      <w:rFonts w:ascii="Times New Roman" w:hAnsi="Times New Roman" w:eastAsia="楷体" w:cs="Times New Roman"/>
      <w:b/>
      <w:sz w:val="32"/>
      <w:szCs w:val="22"/>
    </w:rPr>
  </w:style>
  <w:style w:type="character" w:customStyle="1" w:styleId="26">
    <w:name w:val="font151"/>
    <w:basedOn w:val="22"/>
    <w:qFormat/>
    <w:uiPriority w:val="0"/>
    <w:rPr>
      <w:rFonts w:hint="eastAsia" w:ascii="微软雅黑" w:hAnsi="微软雅黑" w:eastAsia="微软雅黑" w:cs="微软雅黑"/>
      <w:color w:val="000000"/>
      <w:sz w:val="20"/>
      <w:szCs w:val="20"/>
      <w:u w:val="none"/>
    </w:rPr>
  </w:style>
  <w:style w:type="character" w:customStyle="1" w:styleId="27">
    <w:name w:val="font91"/>
    <w:basedOn w:val="22"/>
    <w:qFormat/>
    <w:uiPriority w:val="0"/>
    <w:rPr>
      <w:rFonts w:hint="eastAsia" w:ascii="微软雅黑" w:hAnsi="微软雅黑" w:eastAsia="微软雅黑" w:cs="微软雅黑"/>
      <w:color w:val="000000"/>
      <w:sz w:val="20"/>
      <w:szCs w:val="20"/>
      <w:u w:val="none"/>
    </w:rPr>
  </w:style>
  <w:style w:type="character" w:customStyle="1" w:styleId="28">
    <w:name w:val="font81"/>
    <w:basedOn w:val="22"/>
    <w:qFormat/>
    <w:uiPriority w:val="0"/>
    <w:rPr>
      <w:rFonts w:hint="eastAsia" w:ascii="微软雅黑" w:hAnsi="微软雅黑" w:eastAsia="微软雅黑" w:cs="微软雅黑"/>
      <w:b/>
      <w:bCs/>
      <w:color w:val="000000"/>
      <w:sz w:val="20"/>
      <w:szCs w:val="20"/>
      <w:u w:val="none"/>
    </w:rPr>
  </w:style>
  <w:style w:type="character" w:customStyle="1" w:styleId="29">
    <w:name w:val="font131"/>
    <w:basedOn w:val="22"/>
    <w:qFormat/>
    <w:uiPriority w:val="0"/>
    <w:rPr>
      <w:rFonts w:ascii="Arial" w:hAnsi="Arial" w:cs="Arial"/>
      <w:color w:val="000000"/>
      <w:sz w:val="20"/>
      <w:szCs w:val="20"/>
      <w:u w:val="none"/>
    </w:rPr>
  </w:style>
  <w:style w:type="character" w:customStyle="1" w:styleId="30">
    <w:name w:val="font141"/>
    <w:basedOn w:val="22"/>
    <w:qFormat/>
    <w:uiPriority w:val="0"/>
    <w:rPr>
      <w:rFonts w:hint="eastAsia" w:ascii="微软雅黑" w:hAnsi="微软雅黑" w:eastAsia="微软雅黑" w:cs="微软雅黑"/>
      <w:color w:val="FF0000"/>
      <w:sz w:val="20"/>
      <w:szCs w:val="20"/>
      <w:u w:val="none"/>
    </w:rPr>
  </w:style>
  <w:style w:type="character" w:customStyle="1" w:styleId="31">
    <w:name w:val="font161"/>
    <w:basedOn w:val="22"/>
    <w:qFormat/>
    <w:uiPriority w:val="0"/>
    <w:rPr>
      <w:rFonts w:hint="eastAsia" w:ascii="宋体" w:hAnsi="宋体" w:eastAsia="宋体" w:cs="宋体"/>
      <w:color w:val="FF0000"/>
      <w:sz w:val="20"/>
      <w:szCs w:val="20"/>
      <w:u w:val="none"/>
    </w:rPr>
  </w:style>
  <w:style w:type="paragraph" w:customStyle="1" w:styleId="32">
    <w:name w:val="Table Paragraph"/>
    <w:basedOn w:val="1"/>
    <w:qFormat/>
    <w:uiPriority w:val="0"/>
    <w:rPr>
      <w:rFonts w:ascii="宋体" w:hAnsi="宋体" w:cs="宋体"/>
      <w:lang w:val="zh-CN" w:bidi="zh-CN"/>
    </w:rPr>
  </w:style>
  <w:style w:type="paragraph" w:customStyle="1" w:styleId="33">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34">
    <w:name w:val="标题 1 字符"/>
    <w:link w:val="3"/>
    <w:qFormat/>
    <w:uiPriority w:val="0"/>
    <w:rPr>
      <w:rFonts w:ascii="Calibri" w:hAnsi="Calibri" w:eastAsia="楷体" w:cs="Times New Roman"/>
      <w:b/>
      <w:kern w:val="44"/>
      <w:sz w:val="44"/>
      <w:szCs w:val="22"/>
    </w:rPr>
  </w:style>
  <w:style w:type="character" w:customStyle="1" w:styleId="35">
    <w:name w:val="font21"/>
    <w:basedOn w:val="22"/>
    <w:qFormat/>
    <w:uiPriority w:val="0"/>
    <w:rPr>
      <w:rFonts w:hint="eastAsia" w:ascii="仿宋" w:hAnsi="仿宋" w:eastAsia="仿宋" w:cs="仿宋"/>
      <w:color w:val="000000"/>
      <w:sz w:val="21"/>
      <w:szCs w:val="21"/>
      <w:u w:val="none"/>
    </w:rPr>
  </w:style>
  <w:style w:type="character" w:customStyle="1" w:styleId="36">
    <w:name w:val="font51"/>
    <w:basedOn w:val="22"/>
    <w:qFormat/>
    <w:uiPriority w:val="0"/>
    <w:rPr>
      <w:rFonts w:hint="eastAsia" w:ascii="仿宋" w:hAnsi="仿宋" w:eastAsia="仿宋" w:cs="仿宋"/>
      <w:color w:val="FF0000"/>
      <w:sz w:val="22"/>
      <w:szCs w:val="22"/>
      <w:u w:val="none"/>
    </w:rPr>
  </w:style>
  <w:style w:type="character" w:customStyle="1" w:styleId="37">
    <w:name w:val="页脚 字符"/>
    <w:basedOn w:val="22"/>
    <w:link w:val="15"/>
    <w:qFormat/>
    <w:uiPriority w:val="0"/>
    <w:rPr>
      <w:rFonts w:ascii="Calibri" w:hAnsi="Calibri"/>
      <w:kern w:val="2"/>
      <w:sz w:val="18"/>
      <w:szCs w:val="18"/>
    </w:rPr>
  </w:style>
  <w:style w:type="paragraph" w:styleId="38">
    <w:name w:val="List Paragraph"/>
    <w:basedOn w:val="1"/>
    <w:qFormat/>
    <w:uiPriority w:val="99"/>
    <w:pPr>
      <w:ind w:firstLine="420" w:firstLineChars="200"/>
    </w:pPr>
  </w:style>
  <w:style w:type="paragraph" w:customStyle="1" w:styleId="39">
    <w:name w:val="修订1"/>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6111</Words>
  <Characters>6262</Characters>
  <Lines>55</Lines>
  <Paragraphs>15</Paragraphs>
  <TotalTime>13</TotalTime>
  <ScaleCrop>false</ScaleCrop>
  <LinksUpToDate>false</LinksUpToDate>
  <CharactersWithSpaces>6285</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2023-06-01T03:01:00Z</dcterms:created>
  <dc:creator>Administrator</dc:creator>
  <cp:lastModifiedBy>勿忘心安。</cp:lastModifiedBy>
  <cp:lastPrinted>2022-09-07T09:16:00Z</cp:lastPrinted>
  <dcterms:modified xsi:type="dcterms:W3CDTF">2023-08-31T08:02:41Z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E07D9727B6854426B5C5DC699506921E_13</vt:lpwstr>
  </property>
</Properties>
</file>