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第三章 采购需求及服务要求</w:t>
      </w:r>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eastAsia="zh-CN"/>
        </w:rPr>
      </w:pPr>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eastAsia="zh-CN"/>
        </w:rPr>
      </w:pPr>
      <w:r>
        <w:rPr>
          <w:rFonts w:hint="eastAsia" w:ascii="宋体" w:hAnsi="宋体" w:eastAsia="宋体" w:cs="宋体"/>
          <w:b/>
          <w:bCs/>
          <w:sz w:val="24"/>
          <w:szCs w:val="24"/>
          <w:u w:val="none"/>
          <w:lang w:eastAsia="zh-CN"/>
        </w:rPr>
        <w:t>一、项目</w:t>
      </w:r>
      <w:r>
        <w:rPr>
          <w:rFonts w:hint="eastAsia" w:ascii="宋体" w:hAnsi="宋体" w:eastAsia="宋体" w:cs="宋体"/>
          <w:b/>
          <w:bCs/>
          <w:sz w:val="24"/>
          <w:szCs w:val="24"/>
          <w:u w:val="none"/>
          <w:lang w:val="en-US" w:eastAsia="zh-CN"/>
        </w:rPr>
        <w:t>概况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color w:val="000000"/>
          <w:kern w:val="0"/>
          <w:sz w:val="24"/>
          <w:szCs w:val="24"/>
          <w:lang w:val="en-US" w:eastAsia="zh-CN" w:bidi="ar"/>
        </w:rPr>
        <w:t>1、项目名称：</w:t>
      </w:r>
      <w:bookmarkStart w:id="0" w:name="_GoBack"/>
      <w:r>
        <w:rPr>
          <w:rFonts w:hint="eastAsia" w:ascii="宋体" w:hAnsi="宋体" w:eastAsia="宋体" w:cs="宋体"/>
          <w:i w:val="0"/>
          <w:caps w:val="0"/>
          <w:color w:val="FF0000"/>
          <w:spacing w:val="0"/>
          <w:sz w:val="24"/>
          <w:szCs w:val="24"/>
          <w:shd w:val="clear" w:color="auto" w:fill="FFFFFF"/>
          <w:lang w:val="en-US" w:eastAsia="zh-CN"/>
        </w:rPr>
        <w:t>2.0检委会会议室系统、设备维护更新</w:t>
      </w:r>
      <w:bookmarkEnd w:id="0"/>
    </w:p>
    <w:p>
      <w:pPr>
        <w:pStyle w:val="7"/>
        <w:keepNext w:val="0"/>
        <w:keepLines w:val="0"/>
        <w:pageBreakBefore w:val="0"/>
        <w:kinsoku/>
        <w:wordWrap/>
        <w:overflowPunct/>
        <w:topLinePunct w:val="0"/>
        <w:bidi w:val="0"/>
        <w:adjustRightInd/>
        <w:snapToGrid/>
        <w:spacing w:line="360" w:lineRule="auto"/>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2、采购预算金</w:t>
      </w:r>
      <w:r>
        <w:rPr>
          <w:rFonts w:hint="eastAsia" w:ascii="宋体" w:hAnsi="宋体" w:eastAsia="宋体" w:cs="宋体"/>
          <w:i w:val="0"/>
          <w:caps w:val="0"/>
          <w:color w:val="auto"/>
          <w:spacing w:val="0"/>
          <w:sz w:val="24"/>
          <w:szCs w:val="24"/>
          <w:shd w:val="clear" w:color="auto" w:fill="FFFFFF"/>
          <w:lang w:val="en-US" w:eastAsia="zh-CN"/>
        </w:rPr>
        <w:t>额：</w:t>
      </w:r>
      <w:r>
        <w:rPr>
          <w:rFonts w:hint="eastAsia" w:hAnsi="宋体" w:cs="宋体"/>
          <w:i w:val="0"/>
          <w:caps w:val="0"/>
          <w:color w:val="FF0000"/>
          <w:spacing w:val="0"/>
          <w:sz w:val="24"/>
          <w:szCs w:val="24"/>
          <w:shd w:val="clear" w:color="auto" w:fill="FFFFFF"/>
          <w:lang w:val="en-US" w:eastAsia="zh-CN"/>
        </w:rPr>
        <w:t>40</w:t>
      </w:r>
      <w:r>
        <w:rPr>
          <w:rFonts w:hint="eastAsia" w:ascii="宋体" w:hAnsi="宋体" w:eastAsia="宋体" w:cs="宋体"/>
          <w:i w:val="0"/>
          <w:caps w:val="0"/>
          <w:color w:val="FF0000"/>
          <w:spacing w:val="0"/>
          <w:sz w:val="24"/>
          <w:szCs w:val="24"/>
          <w:shd w:val="clear" w:color="auto" w:fill="FFFFFF"/>
          <w:lang w:val="en-US" w:eastAsia="zh-CN"/>
        </w:rPr>
        <w:t>万元</w:t>
      </w:r>
      <w:r>
        <w:rPr>
          <w:rFonts w:hint="eastAsia" w:ascii="宋体" w:hAnsi="宋体" w:eastAsia="宋体" w:cs="宋体"/>
          <w:i w:val="0"/>
          <w:caps w:val="0"/>
          <w:color w:val="auto"/>
          <w:spacing w:val="0"/>
          <w:sz w:val="24"/>
          <w:szCs w:val="24"/>
          <w:shd w:val="clear" w:color="auto" w:fill="FFFFFF"/>
          <w:lang w:val="en-US" w:eastAsia="zh-CN"/>
        </w:rPr>
        <w:t>；最高投标限价：</w:t>
      </w:r>
      <w:r>
        <w:rPr>
          <w:rFonts w:hint="eastAsia" w:hAnsi="宋体" w:cs="宋体"/>
          <w:i w:val="0"/>
          <w:caps w:val="0"/>
          <w:color w:val="FF0000"/>
          <w:spacing w:val="0"/>
          <w:sz w:val="24"/>
          <w:szCs w:val="24"/>
          <w:shd w:val="clear" w:color="auto" w:fill="FFFFFF"/>
          <w:lang w:val="en-US" w:eastAsia="zh-CN"/>
        </w:rPr>
        <w:t>40</w:t>
      </w:r>
      <w:r>
        <w:rPr>
          <w:rFonts w:hint="eastAsia" w:ascii="宋体" w:hAnsi="宋体" w:eastAsia="宋体" w:cs="宋体"/>
          <w:i w:val="0"/>
          <w:caps w:val="0"/>
          <w:color w:val="FF0000"/>
          <w:spacing w:val="0"/>
          <w:sz w:val="24"/>
          <w:szCs w:val="24"/>
          <w:shd w:val="clear" w:color="auto" w:fill="FFFFFF"/>
          <w:lang w:val="en-US" w:eastAsia="zh-CN"/>
        </w:rPr>
        <w:t>万元。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3、服务内容：</w:t>
      </w:r>
      <w:r>
        <w:rPr>
          <w:rFonts w:hint="eastAsia" w:ascii="宋体" w:hAnsi="宋体" w:eastAsia="宋体" w:cs="宋体"/>
          <w:i w:val="0"/>
          <w:caps w:val="0"/>
          <w:color w:val="FF0000"/>
          <w:spacing w:val="0"/>
          <w:sz w:val="24"/>
          <w:szCs w:val="24"/>
          <w:shd w:val="clear" w:color="auto" w:fill="FFFFFF"/>
          <w:lang w:val="en-US" w:eastAsia="zh-CN"/>
        </w:rPr>
        <w:t>2.0检委会会议室系统、设备维护更新</w:t>
      </w:r>
      <w:r>
        <w:rPr>
          <w:rFonts w:hint="eastAsia" w:ascii="宋体" w:hAnsi="宋体" w:eastAsia="宋体" w:cs="宋体"/>
          <w:color w:val="000000"/>
          <w:kern w:val="0"/>
          <w:sz w:val="24"/>
          <w:szCs w:val="24"/>
          <w:lang w:val="en-US" w:eastAsia="zh-CN" w:bidi="ar"/>
        </w:rPr>
        <w:t>主要采购内容详见采购清单</w:t>
      </w:r>
      <w:r>
        <w:rPr>
          <w:rFonts w:hint="eastAsia" w:ascii="宋体" w:hAnsi="宋体" w:eastAsia="宋体" w:cs="宋体"/>
          <w:color w:val="000000"/>
          <w:kern w:val="0"/>
          <w:sz w:val="24"/>
          <w:szCs w:val="24"/>
          <w:highlight w:val="none"/>
          <w:lang w:val="en-US" w:eastAsia="zh-CN" w:bidi="ar"/>
        </w:rPr>
        <w:t>。投标方需完成以上系统工程的供货、安装、调试、项目交付和售后服务工作。</w:t>
      </w:r>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eastAsia="zh-CN"/>
        </w:rPr>
      </w:pPr>
      <w:r>
        <w:rPr>
          <w:rFonts w:hint="eastAsia" w:ascii="宋体" w:hAnsi="宋体" w:eastAsia="宋体" w:cs="宋体"/>
          <w:b/>
          <w:bCs/>
          <w:sz w:val="24"/>
          <w:szCs w:val="24"/>
          <w:u w:val="none"/>
          <w:lang w:val="en-US" w:eastAsia="zh-CN"/>
        </w:rPr>
        <w:t xml:space="preserve">二、服务要求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1、交货期及交货地点：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交货期：</w:t>
      </w:r>
      <w:r>
        <w:rPr>
          <w:rFonts w:hint="eastAsia" w:ascii="宋体" w:hAnsi="宋体" w:eastAsia="宋体" w:cs="宋体"/>
          <w:i w:val="0"/>
          <w:caps w:val="0"/>
          <w:color w:val="auto"/>
          <w:spacing w:val="0"/>
          <w:sz w:val="24"/>
          <w:szCs w:val="24"/>
          <w:shd w:val="clear" w:color="auto" w:fill="FFFFFF"/>
          <w:lang w:val="en-US" w:eastAsia="zh-CN"/>
        </w:rPr>
        <w:t>合同签订之日起</w:t>
      </w:r>
      <w:r>
        <w:rPr>
          <w:rFonts w:hint="eastAsia" w:ascii="宋体" w:hAnsi="宋体" w:cs="宋体"/>
          <w:i w:val="0"/>
          <w:caps w:val="0"/>
          <w:color w:val="auto"/>
          <w:spacing w:val="0"/>
          <w:sz w:val="24"/>
          <w:szCs w:val="24"/>
          <w:highlight w:val="none"/>
          <w:shd w:val="clear" w:color="auto" w:fill="FFFFFF"/>
          <w:lang w:val="en-US" w:eastAsia="zh-CN"/>
        </w:rPr>
        <w:t>45</w:t>
      </w:r>
      <w:r>
        <w:rPr>
          <w:rFonts w:hint="eastAsia" w:ascii="宋体" w:hAnsi="宋体" w:eastAsia="宋体" w:cs="宋体"/>
          <w:i w:val="0"/>
          <w:caps w:val="0"/>
          <w:color w:val="auto"/>
          <w:spacing w:val="0"/>
          <w:sz w:val="24"/>
          <w:szCs w:val="24"/>
          <w:shd w:val="clear" w:color="auto" w:fill="FFFFFF"/>
          <w:lang w:val="en-US" w:eastAsia="zh-CN"/>
        </w:rPr>
        <w:t>日历天内完成供货、安装、调试等工作</w:t>
      </w:r>
      <w:r>
        <w:rPr>
          <w:rFonts w:hint="eastAsia" w:ascii="宋体" w:hAnsi="宋体" w:eastAsia="宋体" w:cs="宋体"/>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交货地点：鄂州市华容区</w:t>
      </w:r>
      <w:r>
        <w:rPr>
          <w:rFonts w:hint="eastAsia" w:ascii="宋体" w:hAnsi="宋体" w:cs="宋体"/>
          <w:color w:val="000000"/>
          <w:kern w:val="0"/>
          <w:sz w:val="24"/>
          <w:szCs w:val="24"/>
          <w:lang w:val="en-US" w:eastAsia="zh-CN" w:bidi="ar"/>
        </w:rPr>
        <w:t>人民检察院</w:t>
      </w:r>
      <w:r>
        <w:rPr>
          <w:rFonts w:hint="eastAsia" w:ascii="宋体" w:hAnsi="宋体" w:eastAsia="宋体" w:cs="宋体"/>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质保期：本项目质保期</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年。零配件更换质保期过后按出厂价提供服务。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2、售后要求：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投标人就所提供的货物必须提供2小时内响应,需要现场服务的需8小时到达现场的维修服务。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3、验收要求：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验收标准需符合采购文件中技术参数、性能及配置要求，中标人全部安装完毕，告知采购人并提出验收申请，采购人在一周内安排相关人员组织验收。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4、付款方式：以合同签订时双方协商为准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三、采购清单</w:t>
      </w:r>
    </w:p>
    <w:tbl>
      <w:tblPr>
        <w:tblStyle w:val="5"/>
        <w:tblW w:w="8262"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4592"/>
        <w:gridCol w:w="1165"/>
        <w:gridCol w:w="1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592"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16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708"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大屏幕显示系统</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液晶显示屏</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有线投屏设备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无纸化会议交互系统</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i w:val="0"/>
                <w:iCs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无纸化液晶升降终端</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国产会议终端</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杀毒软件</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WPS</w:t>
            </w:r>
            <w:r>
              <w:rPr>
                <w:rFonts w:hint="eastAsia" w:ascii="宋体" w:hAnsi="宋体" w:eastAsia="宋体" w:cs="宋体"/>
                <w:i w:val="0"/>
                <w:iCs w:val="0"/>
                <w:color w:val="000000"/>
                <w:kern w:val="0"/>
                <w:sz w:val="24"/>
                <w:szCs w:val="24"/>
                <w:u w:val="none"/>
                <w:lang w:val="en-US" w:eastAsia="zh-CN" w:bidi="ar"/>
              </w:rPr>
              <w:t>软件</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OFD软件</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统信桌面操作系统</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信号投屏系统</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i w:val="0"/>
                <w:iCs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高清信号延长器</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会议LED条屏</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网络设备及配套线缆</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i w:val="0"/>
                <w:iCs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千兆交换机</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高清线缆</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光纤终端盒</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光纤跳线</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辅料</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装饰配套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i w:val="0"/>
                <w:iCs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拆除分部</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建筑垃圾垂直运输</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建筑垃圾定点清运</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隔断墙</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背景墙硬包</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造型吊顶</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整体墙面喷涂</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软膜天花灯具</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多层实木地板</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窗台石</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强电、空调电路敷设</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辅助光源</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子母门</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会议桌椅</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i w:val="0"/>
                <w:iCs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定制会议桌</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定制扶手会议椅</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定制旁听桌</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定制旁听椅</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bl>
    <w:p>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lang w:val="en-US" w:eastAsia="zh-CN"/>
        </w:rPr>
      </w:pPr>
    </w:p>
    <w:p>
      <w:pPr>
        <w:pStyle w:val="7"/>
        <w:keepNext w:val="0"/>
        <w:keepLines w:val="0"/>
        <w:pageBreakBefore w:val="0"/>
        <w:kinsoku/>
        <w:wordWrap/>
        <w:overflowPunct/>
        <w:topLinePunct w:val="0"/>
        <w:bidi w:val="0"/>
        <w:adjustRightInd/>
        <w:snapToGrid/>
        <w:spacing w:line="360" w:lineRule="auto"/>
        <w:ind w:left="0" w:leftChars="0" w:firstLine="0" w:firstLineChars="0"/>
        <w:rPr>
          <w:rFonts w:hint="eastAsia" w:ascii="宋体" w:hAnsi="宋体" w:eastAsia="宋体" w:cs="宋体"/>
          <w:sz w:val="24"/>
          <w:szCs w:val="24"/>
          <w:lang w:val="en-US" w:eastAsia="zh-CN"/>
        </w:rPr>
      </w:pPr>
    </w:p>
    <w:p>
      <w:pPr>
        <w:pageBreakBefore w:val="0"/>
        <w:kinsoku/>
        <w:wordWrap/>
        <w:overflowPunct/>
        <w:topLinePunct w:val="0"/>
        <w:bidi w:val="0"/>
        <w:adjustRightInd/>
        <w:snapToGrid/>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技术要求</w:t>
      </w:r>
    </w:p>
    <w:p>
      <w:pPr>
        <w:keepNext w:val="0"/>
        <w:keepLines w:val="0"/>
        <w:pageBreakBefore w:val="0"/>
        <w:widowControl/>
        <w:suppressLineNumbers w:val="0"/>
        <w:kinsoku/>
        <w:wordWrap/>
        <w:overflowPunct/>
        <w:topLinePunct w:val="0"/>
        <w:bidi w:val="0"/>
        <w:adjustRightInd/>
        <w:snapToGrid/>
        <w:spacing w:before="156" w:beforeAutospacing="0" w:after="156" w:afterAutospacing="0" w:line="360" w:lineRule="auto"/>
        <w:ind w:left="0" w:right="0" w:firstLine="20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说明：下表标注有“★”为必须满足的技术服务要求，标注有“△”号的条款，为 “评审因素及评分标准”中的评分内容。</w:t>
      </w:r>
    </w:p>
    <w:tbl>
      <w:tblPr>
        <w:tblStyle w:val="5"/>
        <w:tblW w:w="83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508"/>
        <w:gridCol w:w="5036"/>
        <w:gridCol w:w="1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08"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503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需求说明</w:t>
            </w:r>
          </w:p>
        </w:tc>
        <w:tc>
          <w:tcPr>
            <w:tcW w:w="1198"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大屏幕显示系统</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0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液晶显示屏</w:t>
            </w: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★1.尺寸：98 英寸屏类型：LED；原装液晶 A 规屏；亮度：≥350 cd/m22.机器分辨率：≥3840×2160，满足全高清 4K 分辨率显示要求；</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2.支持多台设备同时投屏；</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0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有线投屏设备</w:t>
            </w: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1.4K60Hz高清信号投屏系统；</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2.多个设备连接显示屏，画面自由切换；</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3.音视频同步；</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无纸化会议交互系统</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无纸化液晶升降终端</w:t>
            </w: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★1.终端参数：有效显示区域对角线：≥19.5英寸，屏幕分辨率：≥1920*1080，屏幕比例：16：9，触摸参数：10点电容触摸，支持细笔头的电容触摸笔；；</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★2.屏体尺寸：不大于460*278*15.7mm，面板尺寸：不大于580*70*4mm，箱体尺寸：不大于536.6*63*735mm；</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3.外壳为铝合金一体化机加工成型，边缘圆润，表面处理为喷砂阳极氧化,内侧为十点电容触摸屏；</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升降速度：支持超静音，高升降速度，10秒内完成升或降，具备缓起缓停变频技术，低速启动高速运行低速刹车。升降速度调节：支持在用户现场通过软件调节升降速度。（提供第三方检测机构出具的检测报告复印件并加盖制造商公章并加盖制造商公章）；</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仰角模式：人性化设置，屏幕仰角支持电动调节的同时，支持手掰调节，调整显示屏仰角角度时可以使用按钮的前仰或后仰来进行电动调节，也可以使用手掰的方式进行调节仰角角度，仰角角度可调0-15°，支持在用户现场使用软件设置自动仰角角度，不超过物理限定最大仰角。（提供第三方检测机构出具的检测报告复印件并加盖制造商公章）；</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6.产品接口：USBx3，RJ45x1，RS-485x1，HDMIx1，DC12V输入x1，支持HDMI输入，方便与视频矩阵对接，允许接入第三方中控系统，通信遵循Modbus-RTU协议标准；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7.供电方式：整机采用12V直流安全电压供电，不仅节能，还能避免漏电触电风险，还能有效减少静电的产生。</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8.堵转急停:升降器在运行过程中遇到阻力，不能进行升降，电机会自动停止运行，避免损坏电机或配件</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国产会议终端</w:t>
            </w: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1.处理器：≥8核2.3GHz</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★2.内存：≥16GB DDR4</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★3.储存：≥512GB固态硬盘</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显卡：≥1GB独立显存显卡</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杀毒软件</w:t>
            </w: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省检察院定制版</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WPS</w:t>
            </w: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省检察院定制版</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OFD</w:t>
            </w: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省检察院定制版</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统信桌面操作系统</w:t>
            </w: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检察院专用版)</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信号投屏系统</w:t>
            </w: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高清信号延长器</w:t>
            </w: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网线传输高清4K60HzHDMI信号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会议LED条屏</w:t>
            </w: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LED单色会议条屏</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网络设备及配套线缆</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千兆交换机</w:t>
            </w: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8"/>
                <w:sz w:val="24"/>
                <w:szCs w:val="24"/>
                <w:lang w:val="en-US" w:eastAsia="zh-CN" w:bidi="ar"/>
              </w:rPr>
              <w:t>千兆网口≥24个，千兆光口≥2个；</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2.支持三层路由协议；</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3.支持IEEE802.1QVLAN、MACVLAN、协议VLAN、PrivateVLAN；</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4.支持IEEE802.3af/atPoE供电标准；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5.支持IP地址、MAC地址、VLAN和端口四元绑定，对数据包进行过滤；</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高清线缆</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HDMI.DVI高清信号传输线</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RVV3*1.5/RVV3*2.5</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六类屏蔽双绞线</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24芯光纤</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光纤终端盒</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光纤跳线</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辅料</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管材、接插件、五金配件、开关延长器等</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装饰配套</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拆除分部</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吊顶拆除、墙体拆除、吊丝龙骨拆除、地板拆除、瓷砖拆除、墙面铲除等</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建筑垃圾垂直运输</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5楼转运至院外堆放</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建筑垃圾定点清运</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环卫定点清运</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隔断墙</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轻钢龙骨双层欧松板隔墙，内侧隔音棉、石膏板面层；</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背景墙硬包</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木龙骨欧松板基层，硬包雪弗板基层，亚麻面面层；</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造型吊顶</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木龙骨、石膏板跌级吊顶</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整体墙面喷涂</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墙面、顶面腻子二遍，环保乳胶漆喷涂</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软膜天花灯具</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专用LED天花灯，专用透光膜，铝合金边框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多层实木地板</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环保多层实木地板</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亚麻窗帘</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窗台石</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大理石铺装，木龙骨基层</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强电、空调电路敷设</w:t>
            </w: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1.优质16mmPVC线管，布线，不含面板（不足1米按1米计算）和各种控电材料。</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2.灯线1.5平方,插座线2.5平方,大型电器4.0平方。</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3.按线管实际米数测量。</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4.同管穿线不得超过三根。</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辅助光源</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LED孔灯</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子母门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整体更换套装门</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会议桌椅</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定制会议桌</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不小于</w:t>
            </w:r>
            <w:r>
              <w:rPr>
                <w:rFonts w:hint="eastAsia" w:ascii="宋体" w:hAnsi="宋体" w:eastAsia="宋体" w:cs="宋体"/>
                <w:i w:val="0"/>
                <w:iCs w:val="0"/>
                <w:color w:val="000000"/>
                <w:kern w:val="0"/>
                <w:sz w:val="24"/>
                <w:szCs w:val="24"/>
                <w:u w:val="none"/>
                <w:lang w:val="en-US" w:eastAsia="zh-CN" w:bidi="ar"/>
              </w:rPr>
              <w:t>4600*2000*760，基材：采用优质环保E1级多层板贴木皮，符合GB/T 11718-2009，符合GB/T 4897.1.3-2015，符合GB 18580-2017室内装饰装修材料人造板及其制品中甲醛释放限量标准，其中甲醛释放量≤0.124mg/m³。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水性漆：采用优质环保水性漆，密闭涂饰，符合GB 24410-2009室内装饰装修材料水性木器涂料中有害物质限量标准，其中挥发性有机化合物含量≤125g/L，游离甲醛含量≤20mg/kg。</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0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定制扶手会议椅</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优质实木椅架；传统榫卯框架结构，坚固耐用。经烘干、防虫、防腐处理，抗弯强度适中、断裂强度适中；黑色环保西皮，各项技术指标均达到国家标准。</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油漆：采用优质环保聚酯漆双面油饰，全封闭涂装工艺，底漆为（PE）不饱和聚酯漆，面漆为（PU）双成分聚氨脂漆。</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定制旁听桌</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.不小于</w:t>
            </w:r>
            <w:r>
              <w:rPr>
                <w:rFonts w:hint="eastAsia" w:ascii="宋体" w:hAnsi="宋体" w:eastAsia="宋体" w:cs="宋体"/>
                <w:i w:val="0"/>
                <w:iCs w:val="0"/>
                <w:color w:val="000000"/>
                <w:kern w:val="0"/>
                <w:sz w:val="24"/>
                <w:szCs w:val="24"/>
                <w:u w:val="none"/>
                <w:lang w:val="en-US" w:eastAsia="zh-CN" w:bidi="ar"/>
              </w:rPr>
              <w:t>4000*600*760，面材：采用进口AAA级胡桃木皮，经防虫防腐处理,厚度≥0.6mm；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基材：E1级零甲醛环保基材，甲醛含量≤0.9mg/l，符合欧盟E1环保标准。符合国家标准GB18580-2001，GB/T4897-92。</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油漆：优质环保油漆，五底三面工艺。游离甲醛释放量≦0.5mg/l,苯小于0.5%，甲苯和二甲苯总和小于40%，游离甲苯二异氰酸酯小于0.7%</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五金：优质五金配件，并作防锈处理；</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0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定制旁听椅</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优质实木椅架；传统榫卯框架结构，坚固耐用。经烘干、防虫、防腐处理，抗弯强度适中、断裂强度适中；黑色环保西皮，各项技术指标均达到国家标准。</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油漆：采用优质环保聚酯漆双面油饰，全封闭涂装工艺，底漆为（PE）不饱和聚酯漆，面漆为（PU）双成分聚氨脂漆。</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7"/>
        <w:ind w:left="0" w:leftChars="0" w:firstLine="0" w:firstLineChars="0"/>
        <w:rPr>
          <w:rFonts w:hint="eastAsia" w:ascii="宋体" w:hAnsi="宋体" w:eastAsia="宋体" w:cs="宋体"/>
          <w:i w:val="0"/>
          <w:iCs w:val="0"/>
          <w:caps w:val="0"/>
          <w:color w:val="000000"/>
          <w:spacing w:val="0"/>
          <w:kern w:val="0"/>
          <w:sz w:val="24"/>
          <w:szCs w:val="24"/>
          <w:lang w:val="en-US" w:eastAsia="zh-CN" w:bidi="ar"/>
        </w:rPr>
      </w:pPr>
    </w:p>
    <w:p>
      <w:pPr>
        <w:pStyle w:val="4"/>
        <w:rPr>
          <w:rFonts w:hint="eastAsia" w:eastAsiaTheme="minorEastAsia"/>
          <w:b/>
          <w:bCs/>
          <w:lang w:eastAsia="zh-CN"/>
        </w:rPr>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NmNhYjU5MTkyZjQ4YzViMWEzNWVmNzQ2OWRmMzgifQ=="/>
  </w:docVars>
  <w:rsids>
    <w:rsidRoot w:val="719C0951"/>
    <w:rsid w:val="719C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2">
    <w:name w:val="heading 2"/>
    <w:basedOn w:val="1"/>
    <w:next w:val="1"/>
    <w:unhideWhenUsed/>
    <w:qFormat/>
    <w:uiPriority w:val="9"/>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rFonts w:ascii="仿宋" w:hAnsi="仿宋" w:eastAsia="仿宋" w:cs="仿宋"/>
      <w:sz w:val="24"/>
      <w:szCs w:val="24"/>
      <w:lang w:val="en-US" w:eastAsia="zh-CN" w:bidi="ar-SA"/>
    </w:rPr>
  </w:style>
  <w:style w:type="paragraph" w:customStyle="1" w:styleId="7">
    <w:name w:val="段"/>
    <w:next w:val="1"/>
    <w:qFormat/>
    <w:uiPriority w:val="0"/>
    <w:pPr>
      <w:autoSpaceDE w:val="0"/>
      <w:autoSpaceDN w:val="0"/>
      <w:ind w:firstLine="200" w:firstLineChars="200"/>
      <w:jc w:val="both"/>
    </w:pPr>
    <w:rPr>
      <w:rFonts w:ascii="宋体" w:hAnsi="Calibri" w:eastAsia="宋体" w:cs="Times New Roman"/>
      <w:kern w:val="2"/>
      <w:sz w:val="21"/>
      <w:szCs w:val="22"/>
      <w:lang w:val="en-US" w:eastAsia="zh-CN" w:bidi="ar-SA"/>
    </w:rPr>
  </w:style>
  <w:style w:type="character" w:customStyle="1" w:styleId="8">
    <w:name w:val="font4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2702</Words>
  <Characters>3187</Characters>
  <Lines>0</Lines>
  <Paragraphs>0</Paragraphs>
  <TotalTime>0</TotalTime>
  <ScaleCrop>false</ScaleCrop>
  <LinksUpToDate>false</LinksUpToDate>
  <CharactersWithSpaces>3202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2023-05-18T03:29:00Z</dcterms:created>
  <dc:creator>勿忘心安。</dc:creator>
  <cp:lastModifiedBy>勿忘心安。</cp:lastModifiedBy>
  <dcterms:modified xsi:type="dcterms:W3CDTF">2023-05-18T03:29:35Z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C7661DE9FBC045E3B9E41488450136AE_11</vt:lpwstr>
  </property>
</Properties>
</file>