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722EC">
      <w:pPr>
        <w:pStyle w:val="10"/>
        <w:keepNext w:val="0"/>
        <w:keepLines w:val="0"/>
        <w:pageBreakBefore w:val="0"/>
        <w:widowControl w:val="0"/>
        <w:tabs>
          <w:tab w:val="left" w:pos="1982"/>
        </w:tabs>
        <w:kinsoku/>
        <w:overflowPunct/>
        <w:topLinePunct w:val="0"/>
        <w:autoSpaceDE/>
        <w:autoSpaceDN/>
        <w:bidi w:val="0"/>
        <w:adjustRightInd w:val="0"/>
        <w:snapToGrid w:val="0"/>
        <w:spacing w:beforeAutospacing="0" w:afterAutospacing="0"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黑体" w:hAnsi="黑体" w:eastAsia="黑体" w:cs="黑体"/>
          <w:color w:val="auto"/>
          <w:sz w:val="44"/>
          <w:szCs w:val="44"/>
          <w:lang w:val="en-US" w:eastAsia="zh-CN"/>
        </w:rPr>
        <w:t>会议服务框架协议采购需求</w:t>
      </w:r>
    </w:p>
    <w:p w14:paraId="3C61F874">
      <w:pPr>
        <w:pStyle w:val="5"/>
        <w:numPr>
          <w:ilvl w:val="0"/>
          <w:numId w:val="1"/>
        </w:numPr>
        <w:spacing w:before="240" w:after="120"/>
        <w:ind w:left="-495" w:leftChars="0" w:firstLine="3855" w:firstLineChars="0"/>
        <w:jc w:val="both"/>
        <w:rPr>
          <w:rFonts w:hint="eastAsia" w:ascii="仿宋" w:hAnsi="仿宋" w:eastAsia="仿宋"/>
          <w:sz w:val="32"/>
          <w:szCs w:val="32"/>
          <w:lang w:val="en-US" w:eastAsia="zh-CN"/>
        </w:rPr>
      </w:pPr>
      <w:r>
        <w:rPr>
          <w:rFonts w:hint="eastAsia" w:ascii="仿宋" w:hAnsi="仿宋" w:eastAsia="仿宋"/>
          <w:sz w:val="32"/>
          <w:szCs w:val="32"/>
          <w:lang w:val="en-US" w:eastAsia="zh-CN"/>
        </w:rPr>
        <w:t>资格条件</w:t>
      </w:r>
    </w:p>
    <w:p w14:paraId="3489C8C7">
      <w:pPr>
        <w:widowControl/>
        <w:snapToGrid w:val="0"/>
        <w:spacing w:line="360" w:lineRule="auto"/>
        <w:ind w:firstLine="480" w:firstLineChars="200"/>
        <w:jc w:val="left"/>
        <w:rPr>
          <w:rFonts w:ascii="仿宋" w:hAnsi="仿宋" w:eastAsia="仿宋"/>
          <w:bCs/>
          <w:sz w:val="24"/>
          <w:szCs w:val="24"/>
        </w:rPr>
      </w:pPr>
      <w:r>
        <w:rPr>
          <w:rFonts w:hint="eastAsia" w:ascii="仿宋" w:hAnsi="仿宋" w:eastAsia="仿宋"/>
          <w:bCs/>
          <w:sz w:val="24"/>
          <w:szCs w:val="24"/>
        </w:rPr>
        <w:t>1.满足《中华人民共和国政府采购法》第二十二条规定，即：</w:t>
      </w:r>
    </w:p>
    <w:p w14:paraId="2585FAE2">
      <w:pPr>
        <w:widowControl/>
        <w:snapToGrid w:val="0"/>
        <w:spacing w:line="360" w:lineRule="auto"/>
        <w:ind w:firstLine="480" w:firstLineChars="200"/>
        <w:jc w:val="left"/>
        <w:rPr>
          <w:rFonts w:ascii="仿宋" w:hAnsi="仿宋" w:eastAsia="仿宋"/>
          <w:bCs/>
          <w:sz w:val="24"/>
          <w:szCs w:val="24"/>
        </w:rPr>
      </w:pPr>
      <w:r>
        <w:rPr>
          <w:rFonts w:hint="eastAsia" w:ascii="仿宋" w:hAnsi="仿宋" w:eastAsia="仿宋"/>
          <w:bCs/>
          <w:sz w:val="24"/>
          <w:szCs w:val="24"/>
        </w:rPr>
        <w:t>（1）具有独立承担民事责任的能力；</w:t>
      </w:r>
    </w:p>
    <w:p w14:paraId="66375ABC">
      <w:pPr>
        <w:widowControl/>
        <w:snapToGrid w:val="0"/>
        <w:spacing w:line="360" w:lineRule="auto"/>
        <w:ind w:firstLine="480" w:firstLineChars="200"/>
        <w:jc w:val="left"/>
        <w:rPr>
          <w:rFonts w:ascii="仿宋" w:hAnsi="仿宋" w:eastAsia="仿宋"/>
          <w:bCs/>
          <w:sz w:val="24"/>
          <w:szCs w:val="24"/>
        </w:rPr>
      </w:pPr>
      <w:r>
        <w:rPr>
          <w:rFonts w:hint="eastAsia" w:ascii="仿宋" w:hAnsi="仿宋" w:eastAsia="仿宋"/>
          <w:bCs/>
          <w:sz w:val="24"/>
          <w:szCs w:val="24"/>
        </w:rPr>
        <w:t>（2）具有良好的商业信誉和健全的财务会计制度；</w:t>
      </w:r>
    </w:p>
    <w:p w14:paraId="52A1A9CC">
      <w:pPr>
        <w:widowControl/>
        <w:snapToGrid w:val="0"/>
        <w:spacing w:line="360" w:lineRule="auto"/>
        <w:ind w:firstLine="480" w:firstLineChars="200"/>
        <w:jc w:val="left"/>
        <w:rPr>
          <w:rFonts w:ascii="仿宋" w:hAnsi="仿宋" w:eastAsia="仿宋"/>
          <w:bCs/>
          <w:sz w:val="24"/>
          <w:szCs w:val="24"/>
        </w:rPr>
      </w:pPr>
      <w:r>
        <w:rPr>
          <w:rFonts w:hint="eastAsia" w:ascii="仿宋" w:hAnsi="仿宋" w:eastAsia="仿宋"/>
          <w:bCs/>
          <w:sz w:val="24"/>
          <w:szCs w:val="24"/>
        </w:rPr>
        <w:t>（3）具有履行合同所必需的设备和专业技术能力；</w:t>
      </w:r>
    </w:p>
    <w:p w14:paraId="1E332FB5">
      <w:pPr>
        <w:widowControl/>
        <w:snapToGrid w:val="0"/>
        <w:spacing w:line="360" w:lineRule="auto"/>
        <w:ind w:firstLine="480" w:firstLineChars="200"/>
        <w:jc w:val="left"/>
        <w:rPr>
          <w:rFonts w:ascii="仿宋" w:hAnsi="仿宋" w:eastAsia="仿宋"/>
          <w:bCs/>
          <w:sz w:val="24"/>
          <w:szCs w:val="24"/>
        </w:rPr>
      </w:pPr>
      <w:r>
        <w:rPr>
          <w:rFonts w:hint="eastAsia" w:ascii="仿宋" w:hAnsi="仿宋" w:eastAsia="仿宋"/>
          <w:bCs/>
          <w:sz w:val="24"/>
          <w:szCs w:val="24"/>
        </w:rPr>
        <w:t>（4）有依法缴纳税收和社会保障资金的良好记录；</w:t>
      </w:r>
    </w:p>
    <w:p w14:paraId="58FD694B">
      <w:pPr>
        <w:widowControl/>
        <w:snapToGrid w:val="0"/>
        <w:spacing w:line="360" w:lineRule="auto"/>
        <w:ind w:firstLine="480" w:firstLineChars="200"/>
        <w:jc w:val="left"/>
        <w:rPr>
          <w:rFonts w:ascii="仿宋" w:hAnsi="仿宋" w:eastAsia="仿宋"/>
          <w:bCs/>
          <w:sz w:val="24"/>
          <w:szCs w:val="24"/>
        </w:rPr>
      </w:pPr>
      <w:r>
        <w:rPr>
          <w:rFonts w:hint="eastAsia" w:ascii="仿宋" w:hAnsi="仿宋" w:eastAsia="仿宋"/>
          <w:bCs/>
          <w:sz w:val="24"/>
          <w:szCs w:val="24"/>
        </w:rPr>
        <w:t>（5）参加政府采购活动前三年内，在经营活动中没有重大违法记录；</w:t>
      </w:r>
    </w:p>
    <w:p w14:paraId="37917644">
      <w:pPr>
        <w:widowControl/>
        <w:snapToGrid w:val="0"/>
        <w:spacing w:line="360" w:lineRule="auto"/>
        <w:ind w:firstLine="480" w:firstLineChars="200"/>
        <w:jc w:val="left"/>
        <w:rPr>
          <w:rFonts w:ascii="仿宋" w:hAnsi="仿宋" w:eastAsia="仿宋"/>
          <w:bCs/>
          <w:sz w:val="24"/>
          <w:szCs w:val="24"/>
        </w:rPr>
      </w:pPr>
      <w:r>
        <w:rPr>
          <w:rFonts w:hint="eastAsia" w:ascii="仿宋" w:hAnsi="仿宋" w:eastAsia="仿宋"/>
          <w:bCs/>
          <w:sz w:val="24"/>
          <w:szCs w:val="24"/>
        </w:rPr>
        <w:t>（6）法律、行政法规规定的其他条件。</w:t>
      </w:r>
    </w:p>
    <w:p w14:paraId="29AEABFB">
      <w:pPr>
        <w:widowControl/>
        <w:snapToGrid w:val="0"/>
        <w:spacing w:line="360" w:lineRule="auto"/>
        <w:ind w:firstLine="480" w:firstLineChars="200"/>
        <w:jc w:val="left"/>
        <w:rPr>
          <w:rFonts w:ascii="仿宋" w:hAnsi="仿宋" w:eastAsia="仿宋"/>
          <w:bCs/>
          <w:sz w:val="24"/>
          <w:szCs w:val="24"/>
        </w:rPr>
      </w:pPr>
      <w:r>
        <w:rPr>
          <w:rFonts w:hint="eastAsia" w:ascii="仿宋" w:hAnsi="仿宋" w:eastAsia="仿宋"/>
          <w:bCs/>
          <w:sz w:val="24"/>
          <w:szCs w:val="24"/>
        </w:rPr>
        <w:t>2.单位负责人为同一人或者存在直接控股、管理关系的不同投标人，不得参加本项目同一合同项下的政府采购活动。</w:t>
      </w:r>
    </w:p>
    <w:p w14:paraId="250EDC59">
      <w:pPr>
        <w:widowControl/>
        <w:snapToGrid w:val="0"/>
        <w:spacing w:line="360" w:lineRule="auto"/>
        <w:ind w:firstLine="480" w:firstLineChars="200"/>
        <w:jc w:val="left"/>
        <w:rPr>
          <w:rFonts w:ascii="仿宋" w:hAnsi="仿宋" w:eastAsia="仿宋"/>
          <w:bCs/>
          <w:sz w:val="24"/>
          <w:szCs w:val="24"/>
        </w:rPr>
      </w:pPr>
      <w:r>
        <w:rPr>
          <w:rFonts w:hint="eastAsia" w:ascii="仿宋" w:hAnsi="仿宋" w:eastAsia="仿宋"/>
          <w:bCs/>
          <w:sz w:val="24"/>
          <w:szCs w:val="24"/>
        </w:rPr>
        <w:t>3.为本采购项目提供整体设计、规范编制或者项目管理、监理、检测等服务的，不得再参加本项目的其他招标采购活动。</w:t>
      </w:r>
    </w:p>
    <w:p w14:paraId="28960781">
      <w:pPr>
        <w:widowControl/>
        <w:snapToGrid w:val="0"/>
        <w:spacing w:line="360" w:lineRule="auto"/>
        <w:ind w:firstLine="480" w:firstLineChars="200"/>
        <w:jc w:val="left"/>
        <w:rPr>
          <w:rFonts w:ascii="仿宋" w:hAnsi="仿宋" w:eastAsia="仿宋"/>
          <w:bCs/>
          <w:sz w:val="24"/>
          <w:szCs w:val="24"/>
        </w:rPr>
      </w:pPr>
      <w:r>
        <w:rPr>
          <w:rFonts w:hint="eastAsia" w:ascii="仿宋" w:hAnsi="仿宋" w:eastAsia="仿宋"/>
          <w:bCs/>
          <w:sz w:val="24"/>
          <w:szCs w:val="24"/>
        </w:rPr>
        <w:t>4.未被列入失信被执行人、重大税收违法案件当事人名单，未被列入政府采购严重违法失信行为记录名单。</w:t>
      </w:r>
    </w:p>
    <w:p w14:paraId="70DD3B0D">
      <w:pPr>
        <w:widowControl/>
        <w:snapToGrid w:val="0"/>
        <w:spacing w:line="360" w:lineRule="auto"/>
        <w:ind w:firstLine="480" w:firstLineChars="200"/>
        <w:jc w:val="left"/>
        <w:rPr>
          <w:rFonts w:hint="eastAsia" w:ascii="仿宋" w:hAnsi="仿宋" w:eastAsia="仿宋"/>
          <w:bCs/>
          <w:sz w:val="24"/>
          <w:szCs w:val="24"/>
          <w:lang w:val="en-US" w:eastAsia="zh-CN"/>
        </w:rPr>
      </w:pPr>
      <w:r>
        <w:rPr>
          <w:rFonts w:hint="eastAsia" w:ascii="仿宋" w:hAnsi="仿宋" w:eastAsia="仿宋"/>
          <w:bCs/>
          <w:sz w:val="24"/>
          <w:szCs w:val="24"/>
        </w:rPr>
        <w:t>5.落实政府采购政策需满足的资格要求：</w:t>
      </w:r>
      <w:r>
        <w:rPr>
          <w:rFonts w:hint="eastAsia" w:ascii="仿宋" w:hAnsi="仿宋" w:eastAsia="仿宋"/>
          <w:bCs/>
          <w:sz w:val="24"/>
          <w:szCs w:val="24"/>
          <w:lang w:val="en-US" w:eastAsia="zh-CN"/>
        </w:rPr>
        <w:t>无</w:t>
      </w:r>
      <w:bookmarkStart w:id="17" w:name="_GoBack"/>
      <w:bookmarkEnd w:id="17"/>
    </w:p>
    <w:p w14:paraId="3E07AFDF">
      <w:pPr>
        <w:widowControl/>
        <w:snapToGrid w:val="0"/>
        <w:spacing w:line="360" w:lineRule="auto"/>
        <w:ind w:firstLine="480" w:firstLineChars="200"/>
        <w:jc w:val="left"/>
        <w:rPr>
          <w:rFonts w:hint="eastAsia" w:ascii="仿宋" w:hAnsi="仿宋" w:eastAsia="仿宋"/>
          <w:bCs/>
          <w:sz w:val="24"/>
          <w:szCs w:val="24"/>
        </w:rPr>
      </w:pPr>
      <w:r>
        <w:rPr>
          <w:rFonts w:hint="eastAsia" w:ascii="仿宋" w:hAnsi="仿宋" w:eastAsia="仿宋"/>
          <w:bCs/>
          <w:sz w:val="24"/>
          <w:szCs w:val="24"/>
        </w:rPr>
        <w:t>6.本项目的特定资格要求：</w:t>
      </w:r>
    </w:p>
    <w:p w14:paraId="36FE5337">
      <w:pPr>
        <w:widowControl/>
        <w:snapToGrid w:val="0"/>
        <w:spacing w:line="360" w:lineRule="auto"/>
        <w:ind w:firstLine="480" w:firstLineChars="200"/>
        <w:jc w:val="left"/>
        <w:rPr>
          <w:rFonts w:hint="eastAsia" w:ascii="仿宋" w:hAnsi="仿宋" w:eastAsia="仿宋"/>
          <w:bCs/>
          <w:sz w:val="24"/>
          <w:szCs w:val="24"/>
          <w:highlight w:val="red"/>
          <w:lang w:eastAsia="zh-CN"/>
        </w:rPr>
      </w:pPr>
      <w:r>
        <w:rPr>
          <w:rFonts w:hint="eastAsia" w:ascii="仿宋" w:hAnsi="仿宋" w:eastAsia="仿宋"/>
          <w:bCs/>
          <w:sz w:val="24"/>
          <w:szCs w:val="24"/>
          <w:highlight w:val="none"/>
          <w:lang w:val="en-US" w:eastAsia="zh-CN"/>
        </w:rPr>
        <w:t>6.1</w:t>
      </w:r>
      <w:r>
        <w:rPr>
          <w:rFonts w:hint="eastAsia" w:ascii="仿宋" w:hAnsi="仿宋" w:eastAsia="仿宋"/>
          <w:bCs/>
          <w:sz w:val="24"/>
          <w:szCs w:val="24"/>
          <w:highlight w:val="none"/>
        </w:rPr>
        <w:t>供应商应具有有效的</w:t>
      </w:r>
      <w:r>
        <w:rPr>
          <w:rFonts w:hint="eastAsia" w:ascii="仿宋" w:hAnsi="仿宋" w:eastAsia="仿宋" w:cs="仿宋"/>
          <w:b/>
          <w:bCs/>
          <w:sz w:val="24"/>
          <w:szCs w:val="24"/>
        </w:rPr>
        <w:t>《特种行业许可证》、《食品卫生经营许可证》、</w:t>
      </w:r>
      <w:r>
        <w:rPr>
          <w:rFonts w:hint="eastAsia" w:ascii="仿宋" w:hAnsi="仿宋" w:eastAsia="仿宋" w:cs="仿宋"/>
          <w:b/>
          <w:bCs/>
          <w:color w:val="auto"/>
          <w:sz w:val="24"/>
          <w:szCs w:val="24"/>
        </w:rPr>
        <w:t>消防检查证明或检查意见书；</w:t>
      </w:r>
    </w:p>
    <w:p w14:paraId="4426D864">
      <w:pPr>
        <w:widowControl/>
        <w:snapToGrid w:val="0"/>
        <w:spacing w:line="360" w:lineRule="auto"/>
        <w:ind w:firstLine="480" w:firstLineChars="200"/>
        <w:jc w:val="left"/>
        <w:rPr>
          <w:rFonts w:hint="eastAsia" w:ascii="仿宋" w:hAnsi="仿宋" w:eastAsia="仿宋"/>
          <w:bCs/>
          <w:sz w:val="24"/>
          <w:szCs w:val="24"/>
          <w:lang w:eastAsia="zh-CN"/>
        </w:rPr>
      </w:pPr>
      <w:r>
        <w:rPr>
          <w:rFonts w:hint="eastAsia" w:ascii="仿宋" w:hAnsi="仿宋" w:eastAsia="仿宋"/>
          <w:bCs/>
          <w:sz w:val="24"/>
          <w:szCs w:val="24"/>
          <w:lang w:val="en-US" w:eastAsia="zh-CN"/>
        </w:rPr>
        <w:t>6.2如分公司、分支机构或分所参与投标，须提供总公司、总机构或总所出具的唯一授权书。</w:t>
      </w:r>
    </w:p>
    <w:p w14:paraId="3D959438">
      <w:pPr>
        <w:rPr>
          <w:rFonts w:hint="eastAsia" w:ascii="仿宋" w:hAnsi="仿宋" w:eastAsia="仿宋"/>
          <w:bCs/>
          <w:sz w:val="32"/>
          <w:szCs w:val="32"/>
          <w:lang w:eastAsia="zh-CN"/>
        </w:rPr>
      </w:pPr>
      <w:r>
        <w:rPr>
          <w:rFonts w:hint="eastAsia" w:ascii="仿宋" w:hAnsi="仿宋" w:eastAsia="仿宋"/>
          <w:bCs/>
          <w:sz w:val="32"/>
          <w:szCs w:val="32"/>
          <w:lang w:eastAsia="zh-CN"/>
        </w:rPr>
        <w:br w:type="page"/>
      </w:r>
    </w:p>
    <w:p w14:paraId="21B78A76">
      <w:pPr>
        <w:pStyle w:val="5"/>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Chars="0"/>
        <w:jc w:val="center"/>
        <w:textAlignment w:val="auto"/>
        <w:outlineLvl w:val="0"/>
        <w:rPr>
          <w:rFonts w:hint="eastAsia" w:ascii="黑体" w:hAnsi="黑体" w:eastAsia="黑体" w:cs="黑体"/>
          <w:b w:val="0"/>
          <w:bCs/>
          <w:sz w:val="32"/>
          <w:szCs w:val="32"/>
          <w:highlight w:val="none"/>
          <w:lang w:val="en-US" w:eastAsia="zh-CN"/>
        </w:rPr>
      </w:pPr>
      <w:r>
        <w:rPr>
          <w:rFonts w:hint="eastAsia" w:ascii="仿宋" w:hAnsi="仿宋" w:eastAsia="仿宋"/>
          <w:sz w:val="32"/>
          <w:szCs w:val="32"/>
          <w:lang w:val="en-US" w:eastAsia="zh-CN"/>
        </w:rPr>
        <w:t>第二章  项目技术要求</w:t>
      </w:r>
    </w:p>
    <w:p w14:paraId="3A1C9C14">
      <w:pPr>
        <w:pStyle w:val="6"/>
        <w:numPr>
          <w:ilvl w:val="0"/>
          <w:numId w:val="2"/>
        </w:numPr>
        <w:spacing w:before="0" w:after="0" w:line="360" w:lineRule="auto"/>
        <w:ind w:left="-420" w:leftChars="0" w:firstLine="420" w:firstLineChars="0"/>
        <w:jc w:val="left"/>
        <w:rPr>
          <w:rFonts w:ascii="仿宋" w:hAnsi="仿宋" w:eastAsia="仿宋"/>
          <w:bCs w:val="0"/>
          <w:sz w:val="24"/>
          <w:szCs w:val="24"/>
          <w:lang w:val="zh-CN"/>
        </w:rPr>
      </w:pPr>
      <w:bookmarkStart w:id="0" w:name="_Toc20494"/>
      <w:bookmarkStart w:id="1" w:name="_Toc26761"/>
      <w:bookmarkStart w:id="2" w:name="_Toc24483"/>
      <w:bookmarkStart w:id="3" w:name="_Toc339378679"/>
      <w:bookmarkStart w:id="4" w:name="_Toc338065593"/>
      <w:r>
        <w:rPr>
          <w:rFonts w:hint="eastAsia" w:ascii="仿宋" w:hAnsi="仿宋" w:eastAsia="仿宋"/>
          <w:bCs w:val="0"/>
          <w:sz w:val="24"/>
          <w:szCs w:val="24"/>
          <w:lang w:val="zh-CN"/>
        </w:rPr>
        <w:t>项目概况</w:t>
      </w:r>
      <w:bookmarkEnd w:id="0"/>
      <w:bookmarkEnd w:id="1"/>
      <w:bookmarkEnd w:id="2"/>
    </w:p>
    <w:p w14:paraId="78265B8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本项目是在</w:t>
      </w:r>
      <w:r>
        <w:rPr>
          <w:rFonts w:hint="eastAsia" w:ascii="仿宋" w:hAnsi="仿宋" w:eastAsia="仿宋" w:cs="仿宋"/>
          <w:color w:val="auto"/>
          <w:sz w:val="24"/>
          <w:szCs w:val="24"/>
          <w:lang w:val="en-US" w:eastAsia="zh-CN"/>
        </w:rPr>
        <w:t>华容区</w:t>
      </w:r>
      <w:r>
        <w:rPr>
          <w:rFonts w:hint="eastAsia" w:ascii="仿宋" w:hAnsi="仿宋" w:eastAsia="仿宋" w:cs="仿宋"/>
          <w:color w:val="auto"/>
          <w:sz w:val="24"/>
          <w:szCs w:val="24"/>
        </w:rPr>
        <w:t>辖区内，</w:t>
      </w:r>
      <w:r>
        <w:rPr>
          <w:rFonts w:hint="eastAsia" w:ascii="仿宋" w:hAnsi="仿宋" w:eastAsia="仿宋" w:cs="仿宋"/>
          <w:b/>
          <w:bCs/>
          <w:color w:val="auto"/>
          <w:sz w:val="24"/>
          <w:szCs w:val="24"/>
        </w:rPr>
        <w:t>为</w:t>
      </w:r>
      <w:r>
        <w:rPr>
          <w:rFonts w:hint="eastAsia" w:ascii="仿宋" w:hAnsi="仿宋" w:eastAsia="仿宋" w:cs="仿宋"/>
          <w:b/>
          <w:bCs/>
          <w:color w:val="auto"/>
          <w:sz w:val="24"/>
          <w:szCs w:val="24"/>
          <w:lang w:eastAsia="zh-CN"/>
        </w:rPr>
        <w:t>202</w:t>
      </w: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szCs w:val="24"/>
          <w:lang w:eastAsia="zh-CN"/>
        </w:rPr>
        <w:t>-202</w:t>
      </w: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rPr>
        <w:t>年</w:t>
      </w:r>
      <w:r>
        <w:rPr>
          <w:rFonts w:hint="eastAsia" w:ascii="仿宋" w:hAnsi="仿宋" w:eastAsia="仿宋" w:cs="仿宋"/>
          <w:b/>
          <w:bCs/>
          <w:color w:val="auto"/>
          <w:sz w:val="24"/>
          <w:szCs w:val="24"/>
          <w:lang w:eastAsia="zh-CN"/>
        </w:rPr>
        <w:t>度</w:t>
      </w:r>
      <w:r>
        <w:rPr>
          <w:rFonts w:hint="eastAsia" w:ascii="仿宋" w:hAnsi="仿宋" w:eastAsia="仿宋" w:cs="仿宋"/>
          <w:b/>
          <w:bCs/>
          <w:color w:val="auto"/>
          <w:sz w:val="24"/>
          <w:szCs w:val="24"/>
          <w:lang w:val="en-US" w:eastAsia="zh-CN"/>
        </w:rPr>
        <w:t>区级</w:t>
      </w:r>
      <w:r>
        <w:rPr>
          <w:rFonts w:hint="eastAsia" w:ascii="仿宋" w:hAnsi="仿宋" w:eastAsia="仿宋" w:cs="仿宋"/>
          <w:b/>
          <w:bCs/>
          <w:color w:val="auto"/>
          <w:sz w:val="24"/>
          <w:szCs w:val="24"/>
        </w:rPr>
        <w:t>党政机关会议选定会议定点场所</w:t>
      </w:r>
      <w:r>
        <w:rPr>
          <w:rFonts w:hint="eastAsia" w:ascii="仿宋" w:hAnsi="仿宋" w:eastAsia="仿宋" w:cs="仿宋"/>
          <w:b/>
          <w:bCs/>
          <w:color w:val="auto"/>
          <w:sz w:val="24"/>
          <w:szCs w:val="24"/>
          <w:lang w:val="en-US" w:eastAsia="zh-CN"/>
        </w:rPr>
        <w:t>.</w:t>
      </w:r>
      <w:r>
        <w:rPr>
          <w:rFonts w:hint="eastAsia" w:ascii="仿宋" w:hAnsi="仿宋" w:eastAsia="仿宋" w:cs="仿宋"/>
          <w:b/>
          <w:bCs/>
          <w:color w:val="auto"/>
          <w:sz w:val="24"/>
          <w:szCs w:val="24"/>
        </w:rPr>
        <w:t>本项目中，党政机关会议定点资格接待标准以根据财政部《党政机关会议定点管理办法》和《湖北省党政机关厉行节约反对浪费条例实施办法》、《湖北省省级党政机关会议费管理办法》、《湖北省党政机关会议定点管理暂行办法》文件为标准。</w:t>
      </w:r>
      <w:r>
        <w:rPr>
          <w:rFonts w:hint="eastAsia" w:ascii="仿宋" w:hAnsi="仿宋" w:eastAsia="仿宋" w:cs="仿宋"/>
          <w:color w:val="auto"/>
          <w:sz w:val="24"/>
          <w:szCs w:val="24"/>
        </w:rPr>
        <w:t>投标人超出以上文件规定的标准进行本项目投标的，可能导致无效投标。本次中标人中央、地方各级党政机关会议均可使用，其投标承诺也将完全适用于中央、地方各级党政机关会议定点管理，享受同等待遇。</w:t>
      </w:r>
    </w:p>
    <w:p w14:paraId="3B73DBF5">
      <w:pPr>
        <w:spacing w:line="440" w:lineRule="exact"/>
        <w:rPr>
          <w:lang w:val="zh-CN"/>
        </w:rPr>
      </w:pPr>
      <w:r>
        <w:rPr>
          <w:rFonts w:hint="eastAsia" w:ascii="仿宋" w:hAnsi="仿宋" w:eastAsia="仿宋" w:cs="仿宋"/>
          <w:color w:val="auto"/>
          <w:sz w:val="24"/>
          <w:szCs w:val="24"/>
        </w:rPr>
        <w:t>1.2适用于</w:t>
      </w:r>
      <w:r>
        <w:rPr>
          <w:rFonts w:hint="eastAsia" w:ascii="仿宋" w:hAnsi="仿宋" w:eastAsia="仿宋" w:cs="仿宋"/>
          <w:color w:val="auto"/>
          <w:sz w:val="24"/>
          <w:szCs w:val="24"/>
          <w:lang w:val="en-US" w:eastAsia="zh-CN"/>
        </w:rPr>
        <w:t>华容区</w:t>
      </w:r>
      <w:r>
        <w:rPr>
          <w:rFonts w:hint="eastAsia" w:ascii="仿宋" w:hAnsi="仿宋" w:eastAsia="仿宋" w:cs="仿宋"/>
          <w:color w:val="auto"/>
          <w:sz w:val="24"/>
          <w:szCs w:val="24"/>
        </w:rPr>
        <w:t>各级党的机关、人大机关、行政机关、政协机关、审判机关、检察机关，以及各民主党派、工商联、各人民团体和参照公务员法管理的事业单位（以下称党政机关）。</w:t>
      </w:r>
    </w:p>
    <w:bookmarkEnd w:id="3"/>
    <w:bookmarkEnd w:id="4"/>
    <w:p w14:paraId="40E8B82E">
      <w:pPr>
        <w:spacing w:line="360" w:lineRule="auto"/>
        <w:ind w:firstLine="480" w:firstLineChars="200"/>
        <w:rPr>
          <w:rFonts w:ascii="仿宋" w:hAnsi="仿宋" w:eastAsia="仿宋"/>
          <w:sz w:val="24"/>
          <w:szCs w:val="24"/>
          <w:highlight w:val="none"/>
        </w:rPr>
      </w:pPr>
      <w:bookmarkStart w:id="5" w:name="_Toc339378680"/>
      <w:bookmarkStart w:id="6" w:name="_Toc338065594"/>
      <w:r>
        <w:rPr>
          <w:rFonts w:hint="eastAsia" w:ascii="仿宋" w:hAnsi="仿宋" w:eastAsia="仿宋"/>
          <w:sz w:val="24"/>
          <w:szCs w:val="24"/>
          <w:highlight w:val="none"/>
        </w:rPr>
        <w:t>1.</w:t>
      </w:r>
      <w:r>
        <w:rPr>
          <w:rFonts w:hint="eastAsia" w:ascii="仿宋" w:hAnsi="仿宋" w:eastAsia="仿宋"/>
          <w:sz w:val="24"/>
          <w:szCs w:val="24"/>
          <w:highlight w:val="none"/>
          <w:lang w:val="en-US" w:eastAsia="zh-CN"/>
        </w:rPr>
        <w:t>征集</w:t>
      </w:r>
      <w:r>
        <w:rPr>
          <w:rFonts w:hint="eastAsia" w:ascii="仿宋" w:hAnsi="仿宋" w:eastAsia="仿宋"/>
          <w:sz w:val="24"/>
          <w:szCs w:val="24"/>
          <w:highlight w:val="none"/>
        </w:rPr>
        <w:t>内容：</w:t>
      </w:r>
      <w:r>
        <w:rPr>
          <w:rFonts w:hint="eastAsia" w:ascii="仿宋" w:hAnsi="仿宋" w:eastAsia="仿宋"/>
          <w:sz w:val="24"/>
          <w:szCs w:val="24"/>
          <w:highlight w:val="none"/>
          <w:lang w:val="en-US" w:eastAsia="zh-CN"/>
        </w:rPr>
        <w:t>会议定点服务</w:t>
      </w:r>
      <w:r>
        <w:rPr>
          <w:rFonts w:hint="eastAsia" w:ascii="仿宋" w:hAnsi="仿宋" w:eastAsia="仿宋"/>
          <w:sz w:val="24"/>
          <w:szCs w:val="24"/>
          <w:highlight w:val="none"/>
        </w:rPr>
        <w:t>。</w:t>
      </w:r>
    </w:p>
    <w:p w14:paraId="4E659FD7">
      <w:pPr>
        <w:spacing w:line="360" w:lineRule="auto"/>
        <w:ind w:firstLine="480" w:firstLineChars="200"/>
        <w:rPr>
          <w:rFonts w:ascii="仿宋" w:hAnsi="仿宋" w:eastAsia="仿宋"/>
          <w:sz w:val="24"/>
          <w:szCs w:val="24"/>
        </w:rPr>
      </w:pPr>
      <w:r>
        <w:rPr>
          <w:rFonts w:hint="eastAsia" w:ascii="仿宋" w:hAnsi="仿宋" w:eastAsia="仿宋"/>
          <w:sz w:val="24"/>
          <w:szCs w:val="24"/>
        </w:rPr>
        <w:t>2.服务对象：</w:t>
      </w:r>
      <w:r>
        <w:rPr>
          <w:rFonts w:hint="eastAsia" w:ascii="仿宋" w:hAnsi="仿宋" w:eastAsia="仿宋"/>
          <w:sz w:val="24"/>
          <w:szCs w:val="24"/>
          <w:lang w:eastAsia="zh-CN"/>
        </w:rPr>
        <w:t>华容区各</w:t>
      </w:r>
      <w:r>
        <w:rPr>
          <w:rFonts w:hint="eastAsia" w:ascii="仿宋" w:hAnsi="仿宋" w:eastAsia="仿宋"/>
          <w:sz w:val="24"/>
          <w:szCs w:val="24"/>
          <w:lang w:val="en-US" w:eastAsia="zh-CN"/>
        </w:rPr>
        <w:t>预算</w:t>
      </w:r>
      <w:r>
        <w:rPr>
          <w:rFonts w:hint="eastAsia" w:ascii="仿宋" w:hAnsi="仿宋" w:eastAsia="仿宋"/>
          <w:sz w:val="24"/>
          <w:szCs w:val="24"/>
        </w:rPr>
        <w:t>单位。</w:t>
      </w:r>
    </w:p>
    <w:p w14:paraId="115E1A36">
      <w:pPr>
        <w:spacing w:line="360" w:lineRule="auto"/>
        <w:ind w:firstLine="480" w:firstLineChars="200"/>
        <w:rPr>
          <w:rFonts w:ascii="仿宋" w:hAnsi="仿宋" w:eastAsia="仿宋"/>
          <w:sz w:val="24"/>
          <w:szCs w:val="24"/>
        </w:rPr>
      </w:pPr>
      <w:r>
        <w:rPr>
          <w:rFonts w:hint="eastAsia" w:ascii="仿宋" w:hAnsi="仿宋" w:eastAsia="仿宋"/>
          <w:sz w:val="24"/>
          <w:szCs w:val="24"/>
        </w:rPr>
        <w:t>3.框架协议期限：</w:t>
      </w:r>
      <w:r>
        <w:rPr>
          <w:rFonts w:hint="eastAsia" w:ascii="仿宋" w:hAnsi="仿宋" w:eastAsia="仿宋"/>
          <w:sz w:val="24"/>
          <w:szCs w:val="24"/>
          <w:lang w:eastAsia="zh-CN"/>
        </w:rPr>
        <w:t>合同签订之日起至202</w:t>
      </w:r>
      <w:r>
        <w:rPr>
          <w:rFonts w:hint="eastAsia" w:ascii="仿宋" w:hAnsi="仿宋" w:eastAsia="仿宋"/>
          <w:sz w:val="24"/>
          <w:szCs w:val="24"/>
          <w:lang w:val="en-US" w:eastAsia="zh-CN"/>
        </w:rPr>
        <w:t>5</w:t>
      </w:r>
      <w:r>
        <w:rPr>
          <w:rFonts w:hint="eastAsia" w:ascii="仿宋" w:hAnsi="仿宋" w:eastAsia="仿宋"/>
          <w:sz w:val="24"/>
          <w:szCs w:val="24"/>
          <w:lang w:eastAsia="zh-CN"/>
        </w:rPr>
        <w:t>年12月31日止。</w:t>
      </w:r>
    </w:p>
    <w:p w14:paraId="7359ADCF">
      <w:pPr>
        <w:pStyle w:val="6"/>
        <w:numPr>
          <w:ilvl w:val="0"/>
          <w:numId w:val="2"/>
        </w:numPr>
        <w:spacing w:before="0" w:after="0" w:line="360" w:lineRule="auto"/>
        <w:ind w:left="-420" w:leftChars="0" w:firstLine="420" w:firstLineChars="0"/>
        <w:jc w:val="left"/>
        <w:rPr>
          <w:rFonts w:hint="eastAsia" w:ascii="仿宋" w:hAnsi="仿宋" w:eastAsia="仿宋"/>
          <w:bCs w:val="0"/>
          <w:sz w:val="24"/>
          <w:szCs w:val="24"/>
          <w:lang w:val="zh-CN"/>
        </w:rPr>
      </w:pPr>
      <w:bookmarkStart w:id="7" w:name="_Toc12892"/>
      <w:bookmarkStart w:id="8" w:name="_Toc17050"/>
      <w:bookmarkStart w:id="9" w:name="_Toc20537"/>
      <w:r>
        <w:rPr>
          <w:rFonts w:hint="eastAsia" w:ascii="仿宋" w:hAnsi="仿宋" w:eastAsia="仿宋"/>
          <w:bCs w:val="0"/>
          <w:sz w:val="24"/>
          <w:szCs w:val="24"/>
          <w:lang w:val="zh-CN"/>
        </w:rPr>
        <w:t>服务内容</w:t>
      </w:r>
      <w:bookmarkEnd w:id="7"/>
      <w:bookmarkEnd w:id="8"/>
      <w:bookmarkEnd w:id="9"/>
      <w:r>
        <w:rPr>
          <w:rFonts w:hint="eastAsia" w:ascii="仿宋" w:hAnsi="仿宋" w:eastAsia="仿宋"/>
          <w:bCs w:val="0"/>
          <w:sz w:val="24"/>
          <w:szCs w:val="24"/>
          <w:lang w:val="en-US" w:eastAsia="zh-CN"/>
        </w:rPr>
        <w:t>及要求</w:t>
      </w:r>
    </w:p>
    <w:bookmarkEnd w:id="5"/>
    <w:bookmarkEnd w:id="6"/>
    <w:p w14:paraId="6F2AAAFA">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sz w:val="24"/>
          <w:szCs w:val="24"/>
          <w:lang w:eastAsia="zh-CN"/>
        </w:rPr>
      </w:pPr>
      <w:bookmarkStart w:id="10" w:name="_Toc20591"/>
      <w:bookmarkStart w:id="11" w:name="_Toc692"/>
      <w:bookmarkStart w:id="12" w:name="_Toc16979"/>
      <w:bookmarkStart w:id="13" w:name="_Toc16212"/>
      <w:bookmarkStart w:id="14" w:name="_Toc18213"/>
      <w:r>
        <w:rPr>
          <w:rFonts w:hint="eastAsia" w:ascii="楷体_GB2312" w:hAnsi="楷体_GB2312" w:eastAsia="楷体_GB2312" w:cs="楷体_GB2312"/>
          <w:color w:val="000000"/>
          <w:kern w:val="0"/>
          <w:sz w:val="32"/>
          <w:szCs w:val="32"/>
          <w:highlight w:val="none"/>
          <w:lang w:val="en-US" w:eastAsia="zh-CN" w:bidi="ar"/>
        </w:rPr>
        <w:t>第一包：</w:t>
      </w:r>
      <w:r>
        <w:rPr>
          <w:rFonts w:hint="eastAsia" w:ascii="仿宋" w:hAnsi="仿宋" w:eastAsia="仿宋"/>
          <w:sz w:val="24"/>
          <w:szCs w:val="24"/>
          <w:lang w:eastAsia="zh-CN"/>
        </w:rPr>
        <w:t>一类会议，指</w:t>
      </w:r>
      <w:r>
        <w:rPr>
          <w:rFonts w:hint="eastAsia" w:ascii="仿宋" w:hAnsi="仿宋" w:eastAsia="仿宋"/>
          <w:sz w:val="24"/>
          <w:szCs w:val="24"/>
          <w:lang w:val="en-US" w:eastAsia="zh-CN"/>
        </w:rPr>
        <w:t>区</w:t>
      </w:r>
      <w:r>
        <w:rPr>
          <w:rFonts w:hint="eastAsia" w:ascii="仿宋" w:hAnsi="仿宋" w:eastAsia="仿宋"/>
          <w:sz w:val="24"/>
          <w:szCs w:val="24"/>
          <w:lang w:eastAsia="zh-CN"/>
        </w:rPr>
        <w:t>党代会、</w:t>
      </w:r>
      <w:r>
        <w:rPr>
          <w:rFonts w:hint="eastAsia" w:ascii="仿宋" w:hAnsi="仿宋" w:eastAsia="仿宋"/>
          <w:sz w:val="24"/>
          <w:szCs w:val="24"/>
          <w:lang w:val="en-US" w:eastAsia="zh-CN"/>
        </w:rPr>
        <w:t>区</w:t>
      </w:r>
      <w:r>
        <w:rPr>
          <w:rFonts w:hint="eastAsia" w:ascii="仿宋" w:hAnsi="仿宋" w:eastAsia="仿宋"/>
          <w:sz w:val="24"/>
          <w:szCs w:val="24"/>
          <w:lang w:eastAsia="zh-CN"/>
        </w:rPr>
        <w:t>人大全会、</w:t>
      </w:r>
      <w:r>
        <w:rPr>
          <w:rFonts w:hint="eastAsia" w:ascii="仿宋" w:hAnsi="仿宋" w:eastAsia="仿宋"/>
          <w:sz w:val="24"/>
          <w:szCs w:val="24"/>
          <w:lang w:val="en-US" w:eastAsia="zh-CN"/>
        </w:rPr>
        <w:t>区</w:t>
      </w:r>
      <w:r>
        <w:rPr>
          <w:rFonts w:hint="eastAsia" w:ascii="仿宋" w:hAnsi="仿宋" w:eastAsia="仿宋"/>
          <w:sz w:val="24"/>
          <w:szCs w:val="24"/>
          <w:lang w:eastAsia="zh-CN"/>
        </w:rPr>
        <w:t>政协全会、</w:t>
      </w:r>
      <w:r>
        <w:rPr>
          <w:rFonts w:hint="eastAsia" w:ascii="仿宋" w:hAnsi="仿宋" w:eastAsia="仿宋"/>
          <w:sz w:val="24"/>
          <w:szCs w:val="24"/>
          <w:lang w:val="en-US" w:eastAsia="zh-CN"/>
        </w:rPr>
        <w:t>区</w:t>
      </w:r>
      <w:r>
        <w:rPr>
          <w:rFonts w:hint="eastAsia" w:ascii="仿宋" w:hAnsi="仿宋" w:eastAsia="仿宋"/>
          <w:sz w:val="24"/>
          <w:szCs w:val="24"/>
          <w:lang w:eastAsia="zh-CN"/>
        </w:rPr>
        <w:t>政府召开的全</w:t>
      </w:r>
      <w:r>
        <w:rPr>
          <w:rFonts w:hint="eastAsia" w:ascii="仿宋" w:hAnsi="仿宋" w:eastAsia="仿宋"/>
          <w:sz w:val="24"/>
          <w:szCs w:val="24"/>
          <w:lang w:val="en-US" w:eastAsia="zh-CN"/>
        </w:rPr>
        <w:t>区</w:t>
      </w:r>
      <w:r>
        <w:rPr>
          <w:rFonts w:hint="eastAsia" w:ascii="仿宋" w:hAnsi="仿宋" w:eastAsia="仿宋"/>
          <w:sz w:val="24"/>
          <w:szCs w:val="24"/>
          <w:lang w:eastAsia="zh-CN"/>
        </w:rPr>
        <w:t>劳模表彰会。</w:t>
      </w:r>
    </w:p>
    <w:p w14:paraId="3CF54D9E">
      <w:pPr>
        <w:pStyle w:val="2"/>
        <w:ind w:left="0" w:leftChars="0" w:firstLine="600" w:firstLineChars="200"/>
        <w:rPr>
          <w:rFonts w:hint="eastAsia" w:ascii="楷体_GB2312" w:hAnsi="楷体_GB2312" w:eastAsia="楷体_GB2312" w:cs="楷体_GB2312"/>
          <w:color w:val="000000"/>
          <w:kern w:val="0"/>
          <w:sz w:val="30"/>
          <w:szCs w:val="30"/>
          <w:highlight w:val="none"/>
          <w:lang w:val="en-US" w:eastAsia="zh-CN" w:bidi="ar"/>
        </w:rPr>
      </w:pPr>
      <w:r>
        <w:rPr>
          <w:rFonts w:hint="eastAsia" w:ascii="楷体_GB2312" w:hAnsi="楷体_GB2312" w:eastAsia="楷体_GB2312" w:cs="楷体_GB2312"/>
          <w:color w:val="000000"/>
          <w:kern w:val="0"/>
          <w:sz w:val="30"/>
          <w:szCs w:val="30"/>
          <w:highlight w:val="none"/>
          <w:lang w:val="en-US" w:eastAsia="zh-CN" w:bidi="ar"/>
        </w:rPr>
        <w:t>服务要求（标“★”条款必须满足，否则视为不能响应招标文件要求，其投标将被拒绝）：</w:t>
      </w:r>
    </w:p>
    <w:p w14:paraId="1D9066CE">
      <w:pPr>
        <w:pStyle w:val="2"/>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2.1</w:t>
      </w:r>
      <w:r>
        <w:rPr>
          <w:rFonts w:hint="eastAsia" w:ascii="仿宋" w:hAnsi="仿宋" w:eastAsia="仿宋" w:cs="仿宋"/>
          <w:color w:val="auto"/>
          <w:sz w:val="24"/>
          <w:szCs w:val="24"/>
          <w:lang w:eastAsia="zh-CN"/>
        </w:rPr>
        <w:t>定点会议场所</w:t>
      </w:r>
      <w:r>
        <w:rPr>
          <w:rFonts w:hint="eastAsia" w:ascii="仿宋" w:hAnsi="仿宋" w:eastAsia="仿宋" w:cs="仿宋"/>
          <w:color w:val="auto"/>
          <w:sz w:val="24"/>
          <w:szCs w:val="24"/>
        </w:rPr>
        <w:t>交通便利、布局合理，方便差旅、会议接待用。</w:t>
      </w:r>
    </w:p>
    <w:p w14:paraId="6DCD72CC">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2.2</w:t>
      </w:r>
      <w:r>
        <w:rPr>
          <w:rFonts w:hint="eastAsia" w:ascii="仿宋" w:hAnsi="仿宋" w:eastAsia="仿宋" w:cs="仿宋"/>
          <w:color w:val="auto"/>
          <w:sz w:val="24"/>
          <w:szCs w:val="24"/>
        </w:rPr>
        <w:t>有空调设施，各区域通风良好。</w:t>
      </w:r>
    </w:p>
    <w:p w14:paraId="06706901">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.3设施设备养护良好，达到整洁、卫生和有效。</w:t>
      </w:r>
    </w:p>
    <w:p w14:paraId="332C1D32">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.4</w:t>
      </w:r>
      <w:r>
        <w:rPr>
          <w:rFonts w:hint="eastAsia" w:ascii="仿宋" w:hAnsi="仿宋" w:eastAsia="仿宋" w:cs="仿宋"/>
          <w:color w:val="auto"/>
          <w:sz w:val="24"/>
          <w:szCs w:val="24"/>
          <w:lang w:eastAsia="zh-CN"/>
        </w:rPr>
        <w:t>定点会议场所</w:t>
      </w:r>
      <w:r>
        <w:rPr>
          <w:rFonts w:hint="eastAsia" w:ascii="仿宋" w:hAnsi="仿宋" w:eastAsia="仿宋" w:cs="仿宋"/>
          <w:color w:val="auto"/>
          <w:sz w:val="24"/>
          <w:szCs w:val="24"/>
        </w:rPr>
        <w:t>的建筑、附属设施、服务项目和运行管理应符合安全、消防、卫生、环境保护等现行的国家有关法规和标准。</w:t>
      </w:r>
    </w:p>
    <w:p w14:paraId="7BAAFA29">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.5前厅</w:t>
      </w:r>
    </w:p>
    <w:p w14:paraId="7B61DD3E">
      <w:pPr>
        <w:snapToGrid w:val="0"/>
        <w:spacing w:line="440" w:lineRule="exact"/>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（1）有与接待能力相适应的前厅。有与</w:t>
      </w:r>
      <w:r>
        <w:rPr>
          <w:rFonts w:hint="eastAsia" w:ascii="仿宋" w:hAnsi="仿宋" w:eastAsia="仿宋" w:cs="仿宋"/>
          <w:color w:val="auto"/>
          <w:sz w:val="24"/>
          <w:szCs w:val="24"/>
          <w:lang w:eastAsia="zh-CN"/>
        </w:rPr>
        <w:t>定点会议场所</w:t>
      </w:r>
      <w:r>
        <w:rPr>
          <w:rFonts w:hint="eastAsia" w:ascii="仿宋" w:hAnsi="仿宋" w:eastAsia="仿宋" w:cs="仿宋"/>
          <w:color w:val="auto"/>
          <w:sz w:val="24"/>
          <w:szCs w:val="24"/>
        </w:rPr>
        <w:t>规模相适应的总服务台；</w:t>
      </w:r>
    </w:p>
    <w:p w14:paraId="77D2307F">
      <w:pPr>
        <w:snapToGrid w:val="0"/>
        <w:spacing w:line="440" w:lineRule="exact"/>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（2）总服务台24小时有工作人员提供接待、问讯、结账和留言服务；</w:t>
      </w:r>
    </w:p>
    <w:p w14:paraId="23662ECE">
      <w:pPr>
        <w:snapToGrid w:val="0"/>
        <w:spacing w:line="44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（3）提供一次性总账单结账服务(商品除外)；</w:t>
      </w:r>
    </w:p>
    <w:p w14:paraId="5292088D">
      <w:pPr>
        <w:snapToGrid w:val="0"/>
        <w:spacing w:line="44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（4）总服务台提供</w:t>
      </w:r>
      <w:r>
        <w:rPr>
          <w:rFonts w:hint="eastAsia" w:ascii="仿宋" w:hAnsi="仿宋" w:eastAsia="仿宋" w:cs="仿宋"/>
          <w:color w:val="auto"/>
          <w:sz w:val="24"/>
          <w:szCs w:val="24"/>
          <w:lang w:eastAsia="zh-CN"/>
        </w:rPr>
        <w:t>定点会议场所</w:t>
      </w:r>
      <w:r>
        <w:rPr>
          <w:rFonts w:hint="eastAsia" w:ascii="仿宋" w:hAnsi="仿宋" w:eastAsia="仿宋" w:cs="仿宋"/>
          <w:color w:val="auto"/>
          <w:sz w:val="24"/>
          <w:szCs w:val="24"/>
        </w:rPr>
        <w:t>服务项目宣传品，</w:t>
      </w:r>
      <w:r>
        <w:rPr>
          <w:rFonts w:hint="eastAsia" w:ascii="仿宋" w:hAnsi="仿宋" w:eastAsia="仿宋" w:cs="仿宋"/>
          <w:color w:val="auto"/>
          <w:sz w:val="24"/>
          <w:szCs w:val="24"/>
          <w:lang w:eastAsia="zh-CN"/>
        </w:rPr>
        <w:t>定点会议场所</w:t>
      </w:r>
      <w:r>
        <w:rPr>
          <w:rFonts w:hint="eastAsia" w:ascii="仿宋" w:hAnsi="仿宋" w:eastAsia="仿宋" w:cs="仿宋"/>
          <w:color w:val="auto"/>
          <w:sz w:val="24"/>
          <w:szCs w:val="24"/>
        </w:rPr>
        <w:t xml:space="preserve">价目表，本市交通图，主要交通工具时刻表、与住店客人相适应的报刊； </w:t>
      </w:r>
    </w:p>
    <w:p w14:paraId="24C281C4">
      <w:pPr>
        <w:snapToGrid w:val="0"/>
        <w:spacing w:line="44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（5）接受客房预订、餐饮预订；</w:t>
      </w:r>
    </w:p>
    <w:p w14:paraId="616C5314">
      <w:pPr>
        <w:snapToGrid w:val="0"/>
        <w:spacing w:line="44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（6）有可替客人保管贵重物品保险箱；</w:t>
      </w:r>
    </w:p>
    <w:p w14:paraId="1B3663E1">
      <w:pPr>
        <w:snapToGrid w:val="0"/>
        <w:spacing w:line="44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（7）为客人提供行李服务。有小件行李存放服务；</w:t>
      </w:r>
    </w:p>
    <w:p w14:paraId="5B7499F5">
      <w:pPr>
        <w:snapToGrid w:val="0"/>
        <w:spacing w:line="44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（8）设值班经理，24小时接待客人；</w:t>
      </w:r>
    </w:p>
    <w:p w14:paraId="21D6168B">
      <w:pPr>
        <w:snapToGrid w:val="0"/>
        <w:spacing w:line="44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（9）设客人休息场所。</w:t>
      </w:r>
    </w:p>
    <w:p w14:paraId="33BBE205">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.6客房</w:t>
      </w:r>
    </w:p>
    <w:p w14:paraId="56F5B2D2">
      <w:pPr>
        <w:spacing w:line="440" w:lineRule="exact"/>
        <w:ind w:left="360" w:hanging="360" w:hangingChars="15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(1)会议定点场所应当按要求提供全部客房和会议室。</w:t>
      </w:r>
    </w:p>
    <w:p w14:paraId="44F37A3B">
      <w:pPr>
        <w:snapToGrid w:val="0"/>
        <w:spacing w:line="440" w:lineRule="exact"/>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 装修良好、美观，有软垫床、梳妆台或写字台、衣橱及衣架、座椅或简易沙发、床头柜、床头灯等配套家具。室内满铺地毯、木地板或其他较高档材料。有空调、彩电、闭路电视系统，有至少两种规格的电源插座；</w:t>
      </w:r>
    </w:p>
    <w:p w14:paraId="2923E475">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（3）有防盗装置，在显著位置张贴应急疏散图及相关说明；</w:t>
      </w:r>
    </w:p>
    <w:p w14:paraId="38C63B5F">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（4）有卫生间，装有抽水马桶、梳妆台(配备面盆、梳妆镜)、浴缸或淋浴，配有浴帘或单独淋浴间。采取有效的防滑措施。有良好的照明，有良好的排风系统或排风器、电源插座。24小时供应冷、热水；</w:t>
      </w:r>
    </w:p>
    <w:p w14:paraId="5D9B730F">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（5）有可直接拨通或通过总机拨通的国内和国际长途的电话。电话机旁备有使用说明；</w:t>
      </w:r>
    </w:p>
    <w:p w14:paraId="54C5C887">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（6）房间具备有效的防噪音及隔音措施；</w:t>
      </w:r>
    </w:p>
    <w:p w14:paraId="6174560A">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（7）有与</w:t>
      </w:r>
      <w:r>
        <w:rPr>
          <w:rFonts w:hint="eastAsia" w:ascii="仿宋" w:hAnsi="仿宋" w:eastAsia="仿宋" w:cs="仿宋"/>
          <w:color w:val="auto"/>
          <w:sz w:val="24"/>
          <w:szCs w:val="24"/>
          <w:lang w:eastAsia="zh-CN"/>
        </w:rPr>
        <w:t>定点会议场所</w:t>
      </w:r>
      <w:r>
        <w:rPr>
          <w:rFonts w:hint="eastAsia" w:ascii="仿宋" w:hAnsi="仿宋" w:eastAsia="仿宋" w:cs="仿宋"/>
          <w:color w:val="auto"/>
          <w:sz w:val="24"/>
          <w:szCs w:val="24"/>
        </w:rPr>
        <w:t>相适应的文具用品。有</w:t>
      </w:r>
      <w:r>
        <w:rPr>
          <w:rFonts w:hint="eastAsia" w:ascii="仿宋" w:hAnsi="仿宋" w:eastAsia="仿宋" w:cs="仿宋"/>
          <w:color w:val="auto"/>
          <w:sz w:val="24"/>
          <w:szCs w:val="24"/>
          <w:lang w:eastAsia="zh-CN"/>
        </w:rPr>
        <w:t>定点会议场所</w:t>
      </w:r>
      <w:r>
        <w:rPr>
          <w:rFonts w:hint="eastAsia" w:ascii="仿宋" w:hAnsi="仿宋" w:eastAsia="仿宋" w:cs="仿宋"/>
          <w:color w:val="auto"/>
          <w:sz w:val="24"/>
          <w:szCs w:val="24"/>
        </w:rPr>
        <w:t>服务指南、价目表、住宿规章等；</w:t>
      </w:r>
    </w:p>
    <w:p w14:paraId="1B4C9C59">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（8）客房、卫生间每天全面整理1次，按客人需求更换床单、被单及枕套，客用品和消耗品补充齐全；</w:t>
      </w:r>
    </w:p>
    <w:p w14:paraId="5EED6309">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（9）床上用棉织品(床单、枕芯、枕套、棉被及被单等)及卫生间棉织品(浴衣、浴巾、毛巾等)材质良好、柔软舒适；</w:t>
      </w:r>
    </w:p>
    <w:p w14:paraId="24361D7F">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（10）24小时提供冷热饮用水及免费提供茶叶；</w:t>
      </w:r>
    </w:p>
    <w:p w14:paraId="072BD29D">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（11）客人在房间会客，可应要求免费提供桌椅和茶水服务；</w:t>
      </w:r>
    </w:p>
    <w:p w14:paraId="54C56398">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（12）提供开夜床、叫醒、留言、洗衣、送餐等服务。</w:t>
      </w:r>
    </w:p>
    <w:p w14:paraId="5C6731B1">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.7餐厅</w:t>
      </w:r>
    </w:p>
    <w:p w14:paraId="5739FD5A">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（1）有餐厅，提供早、中、晚餐服务；</w:t>
      </w:r>
    </w:p>
    <w:p w14:paraId="0104261B">
      <w:pPr>
        <w:snapToGrid w:val="0"/>
        <w:spacing w:line="440" w:lineRule="exact"/>
        <w:ind w:firstLine="482" w:firstLineChars="200"/>
        <w:rPr>
          <w:rFonts w:hint="eastAsia" w:ascii="仿宋" w:hAnsi="仿宋" w:eastAsia="仿宋" w:cs="仿宋"/>
          <w:b/>
          <w:bCs/>
          <w:color w:val="auto"/>
          <w:sz w:val="24"/>
          <w:szCs w:val="24"/>
        </w:rPr>
      </w:pPr>
      <w:r>
        <w:rPr>
          <w:rStyle w:val="12"/>
          <w:rFonts w:hint="eastAsia" w:ascii="仿宋" w:hAnsi="仿宋" w:eastAsia="仿宋" w:cs="仿宋"/>
          <w:b/>
          <w:bCs/>
          <w:sz w:val="24"/>
          <w:szCs w:val="24"/>
        </w:rPr>
        <w:t>★</w:t>
      </w:r>
      <w:r>
        <w:rPr>
          <w:rFonts w:hint="eastAsia" w:ascii="仿宋" w:hAnsi="仿宋" w:eastAsia="仿宋" w:cs="仿宋"/>
          <w:b/>
          <w:bCs/>
          <w:color w:val="auto"/>
          <w:sz w:val="24"/>
          <w:szCs w:val="24"/>
        </w:rPr>
        <w:t>（2）总餐位数与客房接待能力相适应：</w:t>
      </w:r>
    </w:p>
    <w:p w14:paraId="4E0EDE7E">
      <w:pPr>
        <w:snapToGrid w:val="0"/>
        <w:spacing w:line="44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承接一类会议的，应容纳不少于300人的餐厅，配有专门厨房；</w:t>
      </w:r>
    </w:p>
    <w:p w14:paraId="7705EAC3">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（3）有中餐厅。晚餐结束客人点菜时间不早于21时；</w:t>
      </w:r>
    </w:p>
    <w:p w14:paraId="27ACCD9B">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（4）有适量的宴会单间或小宴会厅。</w:t>
      </w:r>
      <w:r>
        <w:rPr>
          <w:rFonts w:hint="eastAsia" w:ascii="仿宋" w:hAnsi="仿宋" w:eastAsia="仿宋" w:cs="仿宋"/>
          <w:color w:val="auto"/>
          <w:sz w:val="24"/>
          <w:szCs w:val="24"/>
          <w:lang w:eastAsia="zh-CN"/>
        </w:rPr>
        <w:t>可</w:t>
      </w:r>
      <w:r>
        <w:rPr>
          <w:rFonts w:hint="eastAsia" w:ascii="仿宋" w:hAnsi="仿宋" w:eastAsia="仿宋" w:cs="仿宋"/>
          <w:color w:val="auto"/>
          <w:sz w:val="24"/>
          <w:szCs w:val="24"/>
        </w:rPr>
        <w:t>提供中西式宴会服务、自助餐及清真服务；</w:t>
      </w:r>
    </w:p>
    <w:p w14:paraId="0012AE90">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（5）餐具无破损，卫生、光洁。</w:t>
      </w:r>
    </w:p>
    <w:p w14:paraId="1C2B784A">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.8厨房</w:t>
      </w:r>
    </w:p>
    <w:p w14:paraId="58A6FA11">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（1）位置合理，墙面满铺瓷砖，用防滑材料满铺地面；</w:t>
      </w:r>
    </w:p>
    <w:p w14:paraId="6FAF11CB">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（2）全部使用工作台及优质的厨柜、厨具、用具，有洗刷、消毒设备；</w:t>
      </w:r>
    </w:p>
    <w:p w14:paraId="01B20827">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（3）有足够的冷气设备。冷菜间、面点间应独立分隔，冷菜间温度符合食品卫生标准，内有空气消毒设施；</w:t>
      </w:r>
    </w:p>
    <w:p w14:paraId="5AC4FD67">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（4）粗加工间与其他操作间隔离，各操作间温度适宜；</w:t>
      </w:r>
    </w:p>
    <w:p w14:paraId="6B75690A">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（5）有必要的冷藏、冷冻设施；</w:t>
      </w:r>
    </w:p>
    <w:p w14:paraId="31FCD168">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（6）有专门放置临时垃圾的设施并保持其封闭；</w:t>
      </w:r>
    </w:p>
    <w:p w14:paraId="747BB501">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（7）厨房与餐厅之间，有起隔音、隔热和隔气味作用的进出分开的</w:t>
      </w:r>
      <w:r>
        <w:rPr>
          <w:rFonts w:hint="eastAsia" w:ascii="仿宋" w:hAnsi="仿宋" w:eastAsia="仿宋" w:cs="仿宋"/>
          <w:color w:val="auto"/>
          <w:sz w:val="24"/>
          <w:szCs w:val="24"/>
          <w:lang w:eastAsia="zh-CN"/>
        </w:rPr>
        <w:t>设备</w:t>
      </w:r>
      <w:r>
        <w:rPr>
          <w:rFonts w:hint="eastAsia" w:ascii="仿宋" w:hAnsi="仿宋" w:eastAsia="仿宋" w:cs="仿宋"/>
          <w:color w:val="auto"/>
          <w:sz w:val="24"/>
          <w:szCs w:val="24"/>
        </w:rPr>
        <w:t>；</w:t>
      </w:r>
    </w:p>
    <w:p w14:paraId="23B61C4C">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（8）采取有效的消杀蚊绳、蟑螂等虫害措施。</w:t>
      </w:r>
    </w:p>
    <w:p w14:paraId="6D155499">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.9会议康乐设施：有会议康乐设施设备，并提供相应服务。</w:t>
      </w:r>
    </w:p>
    <w:p w14:paraId="6A53793D">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.10公共区域</w:t>
      </w:r>
    </w:p>
    <w:p w14:paraId="65AB83A4">
      <w:pPr>
        <w:snapToGrid w:val="0"/>
        <w:spacing w:line="440" w:lineRule="exact"/>
        <w:ind w:firstLine="482"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（1）有与</w:t>
      </w:r>
      <w:r>
        <w:rPr>
          <w:rFonts w:hint="eastAsia" w:ascii="仿宋" w:hAnsi="仿宋" w:eastAsia="仿宋" w:cs="仿宋"/>
          <w:b/>
          <w:bCs/>
          <w:color w:val="auto"/>
          <w:sz w:val="24"/>
          <w:szCs w:val="24"/>
          <w:lang w:eastAsia="zh-CN"/>
        </w:rPr>
        <w:t>定点会议场所</w:t>
      </w:r>
      <w:r>
        <w:rPr>
          <w:rFonts w:hint="eastAsia" w:ascii="仿宋" w:hAnsi="仿宋" w:eastAsia="仿宋" w:cs="仿宋"/>
          <w:b/>
          <w:bCs/>
          <w:color w:val="auto"/>
          <w:sz w:val="24"/>
          <w:szCs w:val="24"/>
        </w:rPr>
        <w:t>规模相适应的停车场，自备停车位不少于房间数的15%；</w:t>
      </w:r>
    </w:p>
    <w:p w14:paraId="238BEFFD">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（2）会议接待免收任何形式的停车费；</w:t>
      </w:r>
    </w:p>
    <w:p w14:paraId="3F048893">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（3）会议接待期间，参会车辆的安全责任由</w:t>
      </w:r>
      <w:r>
        <w:rPr>
          <w:rFonts w:hint="eastAsia" w:ascii="仿宋" w:hAnsi="仿宋" w:eastAsia="仿宋" w:cs="仿宋"/>
          <w:color w:val="auto"/>
          <w:sz w:val="24"/>
          <w:szCs w:val="24"/>
          <w:lang w:eastAsia="zh-CN"/>
        </w:rPr>
        <w:t>定点会议场所</w:t>
      </w:r>
      <w:r>
        <w:rPr>
          <w:rFonts w:hint="eastAsia" w:ascii="仿宋" w:hAnsi="仿宋" w:eastAsia="仿宋" w:cs="仿宋"/>
          <w:color w:val="auto"/>
          <w:sz w:val="24"/>
          <w:szCs w:val="24"/>
        </w:rPr>
        <w:t>负责；</w:t>
      </w:r>
    </w:p>
    <w:p w14:paraId="457BE1E2">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（4）有公用电话，并配备市内电话簿；</w:t>
      </w:r>
    </w:p>
    <w:p w14:paraId="0E0EF605">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（5）有男女分设公共卫生间；</w:t>
      </w:r>
    </w:p>
    <w:p w14:paraId="4469934C">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（6）走廊地面满铺地毯或其他较高档材料，墙面整洁、有装修，24小时光线充足，无障碍物；</w:t>
      </w:r>
    </w:p>
    <w:p w14:paraId="47190A06">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）紧急出口标识清楚，位置合理。</w:t>
      </w:r>
    </w:p>
    <w:p w14:paraId="4F934E7A">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.11其他服务</w:t>
      </w:r>
    </w:p>
    <w:p w14:paraId="727E0543">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（1）提供传真、复印等服务；</w:t>
      </w:r>
    </w:p>
    <w:p w14:paraId="3406346E">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（2）有应急供电专用线和应急照明灯；</w:t>
      </w:r>
    </w:p>
    <w:p w14:paraId="6EC06CD0">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（3）有方便客人投诉的措施。</w:t>
      </w:r>
    </w:p>
    <w:p w14:paraId="56626C8F">
      <w:pPr>
        <w:snapToGrid w:val="0"/>
        <w:spacing w:line="440" w:lineRule="exact"/>
        <w:rPr>
          <w:rFonts w:hint="eastAsia" w:ascii="仿宋" w:hAnsi="仿宋" w:eastAsia="仿宋" w:cs="仿宋"/>
          <w:b/>
          <w:bCs/>
          <w:color w:val="auto"/>
          <w:sz w:val="24"/>
          <w:szCs w:val="24"/>
        </w:rPr>
      </w:pPr>
      <w:r>
        <w:rPr>
          <w:rStyle w:val="12"/>
          <w:rFonts w:hint="eastAsia" w:ascii="仿宋" w:hAnsi="仿宋" w:eastAsia="仿宋" w:cs="仿宋"/>
          <w:b/>
          <w:bCs/>
          <w:sz w:val="24"/>
          <w:szCs w:val="24"/>
        </w:rPr>
        <w:t>★</w:t>
      </w:r>
      <w:r>
        <w:rPr>
          <w:rStyle w:val="12"/>
          <w:rFonts w:hint="eastAsia" w:ascii="仿宋" w:hAnsi="仿宋" w:eastAsia="仿宋" w:cs="仿宋"/>
          <w:b/>
          <w:bCs/>
          <w:sz w:val="24"/>
          <w:szCs w:val="24"/>
          <w:lang w:val="en-US" w:eastAsia="zh-CN"/>
        </w:rPr>
        <w:t>2</w:t>
      </w:r>
      <w:r>
        <w:rPr>
          <w:rFonts w:hint="eastAsia" w:ascii="仿宋" w:hAnsi="仿宋" w:eastAsia="仿宋" w:cs="仿宋"/>
          <w:b/>
          <w:bCs/>
          <w:color w:val="auto"/>
          <w:sz w:val="24"/>
          <w:szCs w:val="24"/>
        </w:rPr>
        <w:t>.12会议设施</w:t>
      </w:r>
    </w:p>
    <w:p w14:paraId="7541D12E">
      <w:pPr>
        <w:snapToGrid w:val="0"/>
        <w:spacing w:line="44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（1）承接一类会议的，应有容纳不少于300人的专用会议厅或多功能厅，并有良好的隔音遮光效果、配设衣帽间</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有不少于3个小型会议室或洽谈室；</w:t>
      </w:r>
    </w:p>
    <w:p w14:paraId="357D38A1">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（2）大会议室配备满足会议使用的音响设备，有供租用的多媒体演示设备（电脑、实物投影仪、多媒体投影仪）；</w:t>
      </w:r>
    </w:p>
    <w:p w14:paraId="2F6267FE">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）有较宽敞的楼层厅堂和客人休息场所；</w:t>
      </w:r>
    </w:p>
    <w:p w14:paraId="328FAF51">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）能够根据会议需要设计、布置会议室；</w:t>
      </w:r>
    </w:p>
    <w:p w14:paraId="46BEA4C5">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）会议室设专职服务员，能提供做会标、代购会议用品等服务；</w:t>
      </w:r>
    </w:p>
    <w:p w14:paraId="08A9B806">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 xml:space="preserve">）能够提供纸、笔等基本的会议用文具； </w:t>
      </w:r>
    </w:p>
    <w:p w14:paraId="19CCB4F8">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）能够提供会议明细账单。</w:t>
      </w:r>
    </w:p>
    <w:p w14:paraId="3BD7ADC8">
      <w:pPr>
        <w:snapToGrid w:val="0"/>
        <w:spacing w:line="44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协议期内</w:t>
      </w:r>
      <w:r>
        <w:rPr>
          <w:rFonts w:hint="eastAsia" w:ascii="仿宋" w:hAnsi="仿宋" w:eastAsia="仿宋" w:cs="仿宋"/>
          <w:b/>
          <w:bCs/>
          <w:color w:val="auto"/>
          <w:sz w:val="24"/>
          <w:szCs w:val="24"/>
        </w:rPr>
        <w:t>其他服务要求</w:t>
      </w:r>
    </w:p>
    <w:p w14:paraId="6E0AC5B9">
      <w:pPr>
        <w:snapToGrid w:val="0"/>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(1)投标人必须对所承接会议接待业务承担保密义务。</w:t>
      </w:r>
    </w:p>
    <w:p w14:paraId="39D77508">
      <w:pPr>
        <w:snapToGrid w:val="0"/>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(2)市直机关各单位应享受优先预约会议接待的权利。</w:t>
      </w:r>
    </w:p>
    <w:p w14:paraId="33B1E656">
      <w:pPr>
        <w:snapToGrid w:val="0"/>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(3)为本项目设立专门的会议服务方案及接待小组。</w:t>
      </w:r>
    </w:p>
    <w:p w14:paraId="1359E87E">
      <w:pPr>
        <w:snapToGrid w:val="0"/>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(4)对于承接的会议接待业务，投标人须应单独建立台账或账户核算。</w:t>
      </w:r>
    </w:p>
    <w:p w14:paraId="5B51C8F2">
      <w:pPr>
        <w:snapToGrid w:val="0"/>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(5)中标人应于每半年度结束前七个工作日内向市财政局行政政法科报送会议接待服务情况明细。</w:t>
      </w:r>
    </w:p>
    <w:p w14:paraId="7CB1D037">
      <w:pPr>
        <w:pStyle w:val="4"/>
        <w:adjustRightInd w:val="0"/>
        <w:snapToGrid w:val="0"/>
        <w:spacing w:line="360" w:lineRule="auto"/>
        <w:ind w:firstLine="480" w:firstLineChars="200"/>
        <w:outlineLvl w:val="1"/>
        <w:rPr>
          <w:rFonts w:hint="eastAsia" w:ascii="仿宋" w:hAnsi="仿宋" w:eastAsia="仿宋" w:cs="仿宋"/>
          <w:bCs/>
          <w:color w:val="auto"/>
          <w:sz w:val="24"/>
          <w:szCs w:val="24"/>
        </w:rPr>
      </w:pPr>
      <w:r>
        <w:rPr>
          <w:rFonts w:hint="eastAsia" w:ascii="仿宋" w:hAnsi="仿宋" w:eastAsia="仿宋" w:cs="仿宋"/>
          <w:bCs/>
          <w:color w:val="auto"/>
          <w:sz w:val="24"/>
          <w:szCs w:val="24"/>
        </w:rPr>
        <w:t>(6)投标人应保证设备设施的完好率应在95%以上。</w:t>
      </w:r>
    </w:p>
    <w:p w14:paraId="184315C7">
      <w:pPr>
        <w:pStyle w:val="2"/>
        <w:rPr>
          <w:rFonts w:hint="eastAsia"/>
          <w:lang w:eastAsia="zh-CN"/>
        </w:rPr>
      </w:pPr>
    </w:p>
    <w:p w14:paraId="031A6DFA">
      <w:pPr>
        <w:spacing w:line="440" w:lineRule="exact"/>
        <w:ind w:firstLine="555"/>
        <w:rPr>
          <w:rFonts w:hint="eastAsia" w:ascii="仿宋" w:hAnsi="仿宋" w:eastAsia="仿宋"/>
          <w:sz w:val="24"/>
          <w:szCs w:val="24"/>
          <w:lang w:eastAsia="zh-CN"/>
        </w:rPr>
      </w:pPr>
      <w:r>
        <w:rPr>
          <w:rFonts w:hint="eastAsia" w:ascii="楷体_GB2312" w:hAnsi="楷体_GB2312" w:eastAsia="楷体_GB2312" w:cs="楷体_GB2312"/>
          <w:color w:val="000000"/>
          <w:kern w:val="0"/>
          <w:sz w:val="32"/>
          <w:szCs w:val="32"/>
          <w:highlight w:val="none"/>
          <w:lang w:val="en-US" w:eastAsia="zh-CN" w:bidi="ar"/>
        </w:rPr>
        <w:t>第二包：</w:t>
      </w:r>
      <w:r>
        <w:rPr>
          <w:rFonts w:hint="eastAsia" w:ascii="仿宋" w:hAnsi="仿宋" w:eastAsia="仿宋"/>
          <w:sz w:val="24"/>
          <w:szCs w:val="24"/>
          <w:lang w:eastAsia="zh-CN"/>
        </w:rPr>
        <w:t>二类会议，指</w:t>
      </w:r>
      <w:r>
        <w:rPr>
          <w:rFonts w:hint="eastAsia" w:ascii="仿宋" w:hAnsi="仿宋" w:eastAsia="仿宋"/>
          <w:sz w:val="24"/>
          <w:szCs w:val="24"/>
          <w:lang w:val="en-US" w:eastAsia="zh-CN"/>
        </w:rPr>
        <w:t>区</w:t>
      </w:r>
      <w:r>
        <w:rPr>
          <w:rFonts w:hint="eastAsia" w:ascii="仿宋" w:hAnsi="仿宋" w:eastAsia="仿宋"/>
          <w:sz w:val="24"/>
          <w:szCs w:val="24"/>
          <w:lang w:eastAsia="zh-CN"/>
        </w:rPr>
        <w:t>委全会、</w:t>
      </w:r>
      <w:r>
        <w:rPr>
          <w:rFonts w:hint="eastAsia" w:ascii="仿宋" w:hAnsi="仿宋" w:eastAsia="仿宋"/>
          <w:sz w:val="24"/>
          <w:szCs w:val="24"/>
          <w:lang w:val="en-US" w:eastAsia="zh-CN"/>
        </w:rPr>
        <w:t>区</w:t>
      </w:r>
      <w:r>
        <w:rPr>
          <w:rFonts w:hint="eastAsia" w:ascii="仿宋" w:hAnsi="仿宋" w:eastAsia="仿宋"/>
          <w:sz w:val="24"/>
          <w:szCs w:val="24"/>
          <w:lang w:eastAsia="zh-CN"/>
        </w:rPr>
        <w:t>委扩大会、</w:t>
      </w:r>
      <w:r>
        <w:rPr>
          <w:rFonts w:hint="eastAsia" w:ascii="仿宋" w:hAnsi="仿宋" w:eastAsia="仿宋"/>
          <w:sz w:val="24"/>
          <w:szCs w:val="24"/>
          <w:lang w:val="en-US" w:eastAsia="zh-CN"/>
        </w:rPr>
        <w:t>区</w:t>
      </w:r>
      <w:r>
        <w:rPr>
          <w:rFonts w:hint="eastAsia" w:ascii="仿宋" w:hAnsi="仿宋" w:eastAsia="仿宋"/>
          <w:sz w:val="24"/>
          <w:szCs w:val="24"/>
          <w:lang w:eastAsia="zh-CN"/>
        </w:rPr>
        <w:t>人大常委会、</w:t>
      </w:r>
      <w:r>
        <w:rPr>
          <w:rFonts w:hint="eastAsia" w:ascii="仿宋" w:hAnsi="仿宋" w:eastAsia="仿宋"/>
          <w:sz w:val="24"/>
          <w:szCs w:val="24"/>
          <w:lang w:val="en-US" w:eastAsia="zh-CN"/>
        </w:rPr>
        <w:t>区</w:t>
      </w:r>
      <w:r>
        <w:rPr>
          <w:rFonts w:hint="eastAsia" w:ascii="仿宋" w:hAnsi="仿宋" w:eastAsia="仿宋"/>
          <w:sz w:val="24"/>
          <w:szCs w:val="24"/>
          <w:lang w:eastAsia="zh-CN"/>
        </w:rPr>
        <w:t>政府全会、</w:t>
      </w:r>
      <w:r>
        <w:rPr>
          <w:rFonts w:hint="eastAsia" w:ascii="仿宋" w:hAnsi="仿宋" w:eastAsia="仿宋"/>
          <w:sz w:val="24"/>
          <w:szCs w:val="24"/>
          <w:lang w:val="en-US" w:eastAsia="zh-CN"/>
        </w:rPr>
        <w:t>区</w:t>
      </w:r>
      <w:r>
        <w:rPr>
          <w:rFonts w:hint="eastAsia" w:ascii="仿宋" w:hAnsi="仿宋" w:eastAsia="仿宋"/>
          <w:sz w:val="24"/>
          <w:szCs w:val="24"/>
          <w:lang w:eastAsia="zh-CN"/>
        </w:rPr>
        <w:t>政协常委会、</w:t>
      </w:r>
      <w:r>
        <w:rPr>
          <w:rFonts w:hint="eastAsia" w:ascii="仿宋" w:hAnsi="仿宋" w:eastAsia="仿宋"/>
          <w:sz w:val="24"/>
          <w:szCs w:val="24"/>
          <w:lang w:val="en-US" w:eastAsia="zh-CN"/>
        </w:rPr>
        <w:t>区</w:t>
      </w:r>
      <w:r>
        <w:rPr>
          <w:rFonts w:hint="eastAsia" w:ascii="仿宋" w:hAnsi="仿宋" w:eastAsia="仿宋"/>
          <w:sz w:val="24"/>
          <w:szCs w:val="24"/>
          <w:lang w:eastAsia="zh-CN"/>
        </w:rPr>
        <w:t>纪委全会、各民主党派和群众团体代表大会、</w:t>
      </w:r>
      <w:r>
        <w:rPr>
          <w:rFonts w:hint="eastAsia" w:ascii="仿宋" w:hAnsi="仿宋" w:eastAsia="仿宋"/>
          <w:sz w:val="24"/>
          <w:szCs w:val="24"/>
          <w:lang w:val="en-US" w:eastAsia="zh-CN"/>
        </w:rPr>
        <w:t>区</w:t>
      </w:r>
      <w:r>
        <w:rPr>
          <w:rFonts w:hint="eastAsia" w:ascii="仿宋" w:hAnsi="仿宋" w:eastAsia="仿宋"/>
          <w:sz w:val="24"/>
          <w:szCs w:val="24"/>
          <w:lang w:eastAsia="zh-CN"/>
        </w:rPr>
        <w:t>委和</w:t>
      </w:r>
      <w:r>
        <w:rPr>
          <w:rFonts w:hint="eastAsia" w:ascii="仿宋" w:hAnsi="仿宋" w:eastAsia="仿宋"/>
          <w:sz w:val="24"/>
          <w:szCs w:val="24"/>
          <w:lang w:val="en-US" w:eastAsia="zh-CN"/>
        </w:rPr>
        <w:t>区</w:t>
      </w:r>
      <w:r>
        <w:rPr>
          <w:rFonts w:hint="eastAsia" w:ascii="仿宋" w:hAnsi="仿宋" w:eastAsia="仿宋"/>
          <w:sz w:val="24"/>
          <w:szCs w:val="24"/>
          <w:lang w:eastAsia="zh-CN"/>
        </w:rPr>
        <w:t>政府召开的全</w:t>
      </w:r>
      <w:r>
        <w:rPr>
          <w:rFonts w:hint="eastAsia" w:ascii="仿宋" w:hAnsi="仿宋" w:eastAsia="仿宋"/>
          <w:sz w:val="24"/>
          <w:szCs w:val="24"/>
          <w:lang w:val="en-US" w:eastAsia="zh-CN"/>
        </w:rPr>
        <w:t>区</w:t>
      </w:r>
      <w:r>
        <w:rPr>
          <w:rFonts w:hint="eastAsia" w:ascii="仿宋" w:hAnsi="仿宋" w:eastAsia="仿宋"/>
          <w:sz w:val="24"/>
          <w:szCs w:val="24"/>
          <w:lang w:eastAsia="zh-CN"/>
        </w:rPr>
        <w:t>性会议。</w:t>
      </w:r>
    </w:p>
    <w:p w14:paraId="4C28B869">
      <w:pPr>
        <w:pStyle w:val="2"/>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2.1</w:t>
      </w:r>
      <w:r>
        <w:rPr>
          <w:rFonts w:hint="eastAsia" w:ascii="仿宋" w:hAnsi="仿宋" w:eastAsia="仿宋" w:cs="仿宋"/>
          <w:color w:val="auto"/>
          <w:sz w:val="24"/>
          <w:szCs w:val="24"/>
          <w:lang w:eastAsia="zh-CN"/>
        </w:rPr>
        <w:t>定点会议场所</w:t>
      </w:r>
      <w:r>
        <w:rPr>
          <w:rFonts w:hint="eastAsia" w:ascii="仿宋" w:hAnsi="仿宋" w:eastAsia="仿宋" w:cs="仿宋"/>
          <w:color w:val="auto"/>
          <w:sz w:val="24"/>
          <w:szCs w:val="24"/>
        </w:rPr>
        <w:t>交通便利、布局合理，方便差旅、会议接待用。</w:t>
      </w:r>
    </w:p>
    <w:p w14:paraId="68C511AF">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2.2</w:t>
      </w:r>
      <w:r>
        <w:rPr>
          <w:rFonts w:hint="eastAsia" w:ascii="仿宋" w:hAnsi="仿宋" w:eastAsia="仿宋" w:cs="仿宋"/>
          <w:color w:val="auto"/>
          <w:sz w:val="24"/>
          <w:szCs w:val="24"/>
        </w:rPr>
        <w:t>有空调设施，各区域通风良好。</w:t>
      </w:r>
    </w:p>
    <w:p w14:paraId="15AE1FD0">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.3设施设备养护良好，达到整洁、卫生和有效。</w:t>
      </w:r>
    </w:p>
    <w:p w14:paraId="2562FC1E">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.4</w:t>
      </w:r>
      <w:r>
        <w:rPr>
          <w:rFonts w:hint="eastAsia" w:ascii="仿宋" w:hAnsi="仿宋" w:eastAsia="仿宋" w:cs="仿宋"/>
          <w:color w:val="auto"/>
          <w:sz w:val="24"/>
          <w:szCs w:val="24"/>
          <w:lang w:eastAsia="zh-CN"/>
        </w:rPr>
        <w:t>定点会议场所</w:t>
      </w:r>
      <w:r>
        <w:rPr>
          <w:rFonts w:hint="eastAsia" w:ascii="仿宋" w:hAnsi="仿宋" w:eastAsia="仿宋" w:cs="仿宋"/>
          <w:color w:val="auto"/>
          <w:sz w:val="24"/>
          <w:szCs w:val="24"/>
        </w:rPr>
        <w:t>的建筑、附属设施、服务项目和运行管理应符合安全、消防、卫生、环境保护等现行的国家有关法规和标准。</w:t>
      </w:r>
    </w:p>
    <w:p w14:paraId="40049AB2">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.5前厅</w:t>
      </w:r>
    </w:p>
    <w:p w14:paraId="70A5EB01">
      <w:pPr>
        <w:snapToGrid w:val="0"/>
        <w:spacing w:line="440" w:lineRule="exact"/>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（1）有与接待能力相适应的前厅。有与</w:t>
      </w:r>
      <w:r>
        <w:rPr>
          <w:rFonts w:hint="eastAsia" w:ascii="仿宋" w:hAnsi="仿宋" w:eastAsia="仿宋" w:cs="仿宋"/>
          <w:color w:val="auto"/>
          <w:sz w:val="24"/>
          <w:szCs w:val="24"/>
          <w:lang w:eastAsia="zh-CN"/>
        </w:rPr>
        <w:t>定点会议场所</w:t>
      </w:r>
      <w:r>
        <w:rPr>
          <w:rFonts w:hint="eastAsia" w:ascii="仿宋" w:hAnsi="仿宋" w:eastAsia="仿宋" w:cs="仿宋"/>
          <w:color w:val="auto"/>
          <w:sz w:val="24"/>
          <w:szCs w:val="24"/>
        </w:rPr>
        <w:t>规模相适应的总服务台；</w:t>
      </w:r>
    </w:p>
    <w:p w14:paraId="11D4F5D5">
      <w:pPr>
        <w:snapToGrid w:val="0"/>
        <w:spacing w:line="440" w:lineRule="exact"/>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（2）总服务台24小时有工作人员提供接待、问讯、结账和留言服务；</w:t>
      </w:r>
    </w:p>
    <w:p w14:paraId="31DF6282">
      <w:pPr>
        <w:snapToGrid w:val="0"/>
        <w:spacing w:line="44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（3）提供一次性总账单结账服务(商品除外)；</w:t>
      </w:r>
    </w:p>
    <w:p w14:paraId="13430E56">
      <w:pPr>
        <w:snapToGrid w:val="0"/>
        <w:spacing w:line="44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（4）总服务台提供</w:t>
      </w:r>
      <w:r>
        <w:rPr>
          <w:rFonts w:hint="eastAsia" w:ascii="仿宋" w:hAnsi="仿宋" w:eastAsia="仿宋" w:cs="仿宋"/>
          <w:color w:val="auto"/>
          <w:sz w:val="24"/>
          <w:szCs w:val="24"/>
          <w:lang w:eastAsia="zh-CN"/>
        </w:rPr>
        <w:t>定点会议场所</w:t>
      </w:r>
      <w:r>
        <w:rPr>
          <w:rFonts w:hint="eastAsia" w:ascii="仿宋" w:hAnsi="仿宋" w:eastAsia="仿宋" w:cs="仿宋"/>
          <w:color w:val="auto"/>
          <w:sz w:val="24"/>
          <w:szCs w:val="24"/>
        </w:rPr>
        <w:t>服务项目宣传品，</w:t>
      </w:r>
      <w:r>
        <w:rPr>
          <w:rFonts w:hint="eastAsia" w:ascii="仿宋" w:hAnsi="仿宋" w:eastAsia="仿宋" w:cs="仿宋"/>
          <w:color w:val="auto"/>
          <w:sz w:val="24"/>
          <w:szCs w:val="24"/>
          <w:lang w:eastAsia="zh-CN"/>
        </w:rPr>
        <w:t>定点会议场所</w:t>
      </w:r>
      <w:r>
        <w:rPr>
          <w:rFonts w:hint="eastAsia" w:ascii="仿宋" w:hAnsi="仿宋" w:eastAsia="仿宋" w:cs="仿宋"/>
          <w:color w:val="auto"/>
          <w:sz w:val="24"/>
          <w:szCs w:val="24"/>
        </w:rPr>
        <w:t xml:space="preserve">价目表，本市交通图，主要交通工具时刻表、与住店客人相适应的报刊； </w:t>
      </w:r>
    </w:p>
    <w:p w14:paraId="1CD8646B">
      <w:pPr>
        <w:snapToGrid w:val="0"/>
        <w:spacing w:line="44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（5）接受客房预订、餐饮预订；</w:t>
      </w:r>
    </w:p>
    <w:p w14:paraId="6CA355AB">
      <w:pPr>
        <w:snapToGrid w:val="0"/>
        <w:spacing w:line="44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（6）有可替客人保管贵重物品保险箱；</w:t>
      </w:r>
    </w:p>
    <w:p w14:paraId="0FE654EA">
      <w:pPr>
        <w:snapToGrid w:val="0"/>
        <w:spacing w:line="44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（7）为客人提供行李服务。有小件行李存放服务；</w:t>
      </w:r>
    </w:p>
    <w:p w14:paraId="10E88DF1">
      <w:pPr>
        <w:snapToGrid w:val="0"/>
        <w:spacing w:line="44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（8）设值班经理，24小时接待客人；</w:t>
      </w:r>
    </w:p>
    <w:p w14:paraId="1BDA2E13">
      <w:pPr>
        <w:snapToGrid w:val="0"/>
        <w:spacing w:line="44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（9）设客人休息场所。</w:t>
      </w:r>
    </w:p>
    <w:p w14:paraId="124D867E">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.6客房</w:t>
      </w:r>
    </w:p>
    <w:p w14:paraId="3FB30E27">
      <w:pPr>
        <w:spacing w:line="440" w:lineRule="exact"/>
        <w:ind w:left="360" w:hanging="360" w:hangingChars="15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(1)会议定点场所应当按要求提供全部客房和会议室。</w:t>
      </w:r>
    </w:p>
    <w:p w14:paraId="14EBA399">
      <w:pPr>
        <w:snapToGrid w:val="0"/>
        <w:spacing w:line="440" w:lineRule="exact"/>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 装修良好、美观，有软垫床、梳妆台或写字台、衣橱及衣架、座椅或简易沙发、床头柜、床头灯等配套家具。室内满铺地毯、木地板或其他较高档材料。有空调、彩电、闭路电视系统，有至少两种规格的电源插座；</w:t>
      </w:r>
    </w:p>
    <w:p w14:paraId="39D1F8D1">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（3）有防盗装置，在显著位置张贴应急疏散图及相关说明；</w:t>
      </w:r>
    </w:p>
    <w:p w14:paraId="11BC6304">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（4）有卫生间，装有抽水马桶、梳妆台(配备面盆、梳妆镜)、浴缸或淋浴，配有浴帘或单独淋浴间。采取有效的防滑措施。有良好的照明，有良好的排风系统或排风器、电源插座。24小时供应冷、热水；</w:t>
      </w:r>
    </w:p>
    <w:p w14:paraId="1A3358B9">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（5）有可直接拨通或通过总机拨通的国内和国际长途的电话。电话机旁备有使用说明；</w:t>
      </w:r>
    </w:p>
    <w:p w14:paraId="7EABEC7F">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（6）房间具备有效的防噪音及隔音措施；</w:t>
      </w:r>
    </w:p>
    <w:p w14:paraId="632F6161">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（7）有与</w:t>
      </w:r>
      <w:r>
        <w:rPr>
          <w:rFonts w:hint="eastAsia" w:ascii="仿宋" w:hAnsi="仿宋" w:eastAsia="仿宋" w:cs="仿宋"/>
          <w:color w:val="auto"/>
          <w:sz w:val="24"/>
          <w:szCs w:val="24"/>
          <w:lang w:eastAsia="zh-CN"/>
        </w:rPr>
        <w:t>定点会议场所</w:t>
      </w:r>
      <w:r>
        <w:rPr>
          <w:rFonts w:hint="eastAsia" w:ascii="仿宋" w:hAnsi="仿宋" w:eastAsia="仿宋" w:cs="仿宋"/>
          <w:color w:val="auto"/>
          <w:sz w:val="24"/>
          <w:szCs w:val="24"/>
        </w:rPr>
        <w:t>相适应的文具用品。有</w:t>
      </w:r>
      <w:r>
        <w:rPr>
          <w:rFonts w:hint="eastAsia" w:ascii="仿宋" w:hAnsi="仿宋" w:eastAsia="仿宋" w:cs="仿宋"/>
          <w:color w:val="auto"/>
          <w:sz w:val="24"/>
          <w:szCs w:val="24"/>
          <w:lang w:eastAsia="zh-CN"/>
        </w:rPr>
        <w:t>定点会议场所</w:t>
      </w:r>
      <w:r>
        <w:rPr>
          <w:rFonts w:hint="eastAsia" w:ascii="仿宋" w:hAnsi="仿宋" w:eastAsia="仿宋" w:cs="仿宋"/>
          <w:color w:val="auto"/>
          <w:sz w:val="24"/>
          <w:szCs w:val="24"/>
        </w:rPr>
        <w:t>服务指南、价目表、住宿规章等；</w:t>
      </w:r>
    </w:p>
    <w:p w14:paraId="60A11483">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（8）客房、卫生间每天全面整理1次，按客人需求更换床单、被单及枕套，客用品和消耗品补充齐全；</w:t>
      </w:r>
    </w:p>
    <w:p w14:paraId="09AB097A">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（9）床上用棉织品(床单、枕芯、枕套、棉被及被单等)及卫生间棉织品(浴衣、浴巾、毛巾等)材质良好、柔软舒适；</w:t>
      </w:r>
    </w:p>
    <w:p w14:paraId="3A947ED9">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（10）24小时提供冷热饮用水及免费提供茶叶；</w:t>
      </w:r>
    </w:p>
    <w:p w14:paraId="60A9AA3A">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（11）客人在房间会客，可应要求免费提供桌椅和茶水服务；</w:t>
      </w:r>
    </w:p>
    <w:p w14:paraId="747C9F5F">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（12）提供开夜床、叫醒、留言、洗衣、送餐等服务。</w:t>
      </w:r>
    </w:p>
    <w:p w14:paraId="6E36720F">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.7餐厅</w:t>
      </w:r>
    </w:p>
    <w:p w14:paraId="5D1FD8F5">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（1）有餐厅，提供早、中、晚餐服务；</w:t>
      </w:r>
    </w:p>
    <w:p w14:paraId="1ECA2C5C">
      <w:pPr>
        <w:snapToGrid w:val="0"/>
        <w:spacing w:line="440" w:lineRule="exact"/>
        <w:ind w:firstLine="482" w:firstLineChars="200"/>
        <w:rPr>
          <w:rFonts w:hint="eastAsia" w:ascii="仿宋" w:hAnsi="仿宋" w:eastAsia="仿宋" w:cs="仿宋"/>
          <w:b/>
          <w:bCs/>
          <w:color w:val="auto"/>
          <w:sz w:val="24"/>
          <w:szCs w:val="24"/>
        </w:rPr>
      </w:pPr>
      <w:r>
        <w:rPr>
          <w:rStyle w:val="12"/>
          <w:rFonts w:hint="eastAsia" w:ascii="仿宋" w:hAnsi="仿宋" w:eastAsia="仿宋" w:cs="仿宋"/>
          <w:b/>
          <w:bCs/>
          <w:sz w:val="24"/>
          <w:szCs w:val="24"/>
        </w:rPr>
        <w:t>★</w:t>
      </w:r>
      <w:r>
        <w:rPr>
          <w:rFonts w:hint="eastAsia" w:ascii="仿宋" w:hAnsi="仿宋" w:eastAsia="仿宋" w:cs="仿宋"/>
          <w:b/>
          <w:bCs/>
          <w:color w:val="auto"/>
          <w:sz w:val="24"/>
          <w:szCs w:val="24"/>
        </w:rPr>
        <w:t>（2）总餐位数与客房接待能力相适应：</w:t>
      </w:r>
    </w:p>
    <w:p w14:paraId="14709780">
      <w:pPr>
        <w:snapToGrid w:val="0"/>
        <w:spacing w:line="44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承接二类会议的应容纳不少于200人的餐厅，配有专门厨房；</w:t>
      </w:r>
    </w:p>
    <w:p w14:paraId="1DB50710">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（3）有中餐厅。晚餐结束客人点菜时间不早于21时；</w:t>
      </w:r>
    </w:p>
    <w:p w14:paraId="05259FC1">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（4）有适量的宴会单间或小宴会厅。</w:t>
      </w:r>
      <w:r>
        <w:rPr>
          <w:rFonts w:hint="eastAsia" w:ascii="仿宋" w:hAnsi="仿宋" w:eastAsia="仿宋" w:cs="仿宋"/>
          <w:color w:val="auto"/>
          <w:sz w:val="24"/>
          <w:szCs w:val="24"/>
          <w:lang w:eastAsia="zh-CN"/>
        </w:rPr>
        <w:t>可</w:t>
      </w:r>
      <w:r>
        <w:rPr>
          <w:rFonts w:hint="eastAsia" w:ascii="仿宋" w:hAnsi="仿宋" w:eastAsia="仿宋" w:cs="仿宋"/>
          <w:color w:val="auto"/>
          <w:sz w:val="24"/>
          <w:szCs w:val="24"/>
        </w:rPr>
        <w:t>提供中西式宴会服务、自助餐及清真服务；</w:t>
      </w:r>
    </w:p>
    <w:p w14:paraId="7F5BE65C">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（5）餐具无破损，卫生、光洁。</w:t>
      </w:r>
    </w:p>
    <w:p w14:paraId="726728AB">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.8厨房</w:t>
      </w:r>
    </w:p>
    <w:p w14:paraId="36EA5B6B">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（1）位置合理，墙面满铺瓷砖，用防滑材料满铺地面；</w:t>
      </w:r>
    </w:p>
    <w:p w14:paraId="65D27FEE">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（2）全部使用工作台及优质的厨柜、厨具、用具，有洗刷、消毒设备；</w:t>
      </w:r>
    </w:p>
    <w:p w14:paraId="3B9B7A5C">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（3）有足够的冷气设备。冷菜间、面点间应独立分隔，冷菜间温度符合食品卫生标准，内有空气消毒设施；</w:t>
      </w:r>
    </w:p>
    <w:p w14:paraId="25E2D23F">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（4）粗加工间与其他操作间隔离，各操作间温度适宜；</w:t>
      </w:r>
    </w:p>
    <w:p w14:paraId="5EB568B5">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（5）有必要的冷藏、冷冻设施；</w:t>
      </w:r>
    </w:p>
    <w:p w14:paraId="04E70EB4">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（6）有专门放置临时垃圾的设施并保持其封闭；</w:t>
      </w:r>
    </w:p>
    <w:p w14:paraId="60927237">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（7）厨房与餐厅之间，有起隔音、隔热和隔气味作用的进出分开的</w:t>
      </w:r>
      <w:r>
        <w:rPr>
          <w:rFonts w:hint="eastAsia" w:ascii="仿宋" w:hAnsi="仿宋" w:eastAsia="仿宋" w:cs="仿宋"/>
          <w:color w:val="auto"/>
          <w:sz w:val="24"/>
          <w:szCs w:val="24"/>
          <w:lang w:eastAsia="zh-CN"/>
        </w:rPr>
        <w:t>设备</w:t>
      </w:r>
      <w:r>
        <w:rPr>
          <w:rFonts w:hint="eastAsia" w:ascii="仿宋" w:hAnsi="仿宋" w:eastAsia="仿宋" w:cs="仿宋"/>
          <w:color w:val="auto"/>
          <w:sz w:val="24"/>
          <w:szCs w:val="24"/>
        </w:rPr>
        <w:t>；</w:t>
      </w:r>
    </w:p>
    <w:p w14:paraId="5F8FD2ED">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（8）采取有效的消杀蚊绳、蟑螂等虫害措施。</w:t>
      </w:r>
    </w:p>
    <w:p w14:paraId="45A4D8F8">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.9会议康乐设施：有会议康乐设施设备，并提供相应服务。</w:t>
      </w:r>
    </w:p>
    <w:p w14:paraId="756EFDF2">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.10公共区域</w:t>
      </w:r>
    </w:p>
    <w:p w14:paraId="79588737">
      <w:pPr>
        <w:snapToGrid w:val="0"/>
        <w:spacing w:line="440" w:lineRule="exact"/>
        <w:ind w:firstLine="482"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（1）有与</w:t>
      </w:r>
      <w:r>
        <w:rPr>
          <w:rFonts w:hint="eastAsia" w:ascii="仿宋" w:hAnsi="仿宋" w:eastAsia="仿宋" w:cs="仿宋"/>
          <w:b/>
          <w:bCs/>
          <w:color w:val="auto"/>
          <w:sz w:val="24"/>
          <w:szCs w:val="24"/>
          <w:lang w:eastAsia="zh-CN"/>
        </w:rPr>
        <w:t>定点会议场所</w:t>
      </w:r>
      <w:r>
        <w:rPr>
          <w:rFonts w:hint="eastAsia" w:ascii="仿宋" w:hAnsi="仿宋" w:eastAsia="仿宋" w:cs="仿宋"/>
          <w:b/>
          <w:bCs/>
          <w:color w:val="auto"/>
          <w:sz w:val="24"/>
          <w:szCs w:val="24"/>
        </w:rPr>
        <w:t>规模相适应的停车场，自备停车位不少于房间数的15%；</w:t>
      </w:r>
    </w:p>
    <w:p w14:paraId="68E36E6E">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（2）会议接待免收任何形式的停车费；</w:t>
      </w:r>
    </w:p>
    <w:p w14:paraId="61CC562D">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（3）会议接待期间，参会车辆的安全责任由</w:t>
      </w:r>
      <w:r>
        <w:rPr>
          <w:rFonts w:hint="eastAsia" w:ascii="仿宋" w:hAnsi="仿宋" w:eastAsia="仿宋" w:cs="仿宋"/>
          <w:color w:val="auto"/>
          <w:sz w:val="24"/>
          <w:szCs w:val="24"/>
          <w:lang w:eastAsia="zh-CN"/>
        </w:rPr>
        <w:t>定点会议场所</w:t>
      </w:r>
      <w:r>
        <w:rPr>
          <w:rFonts w:hint="eastAsia" w:ascii="仿宋" w:hAnsi="仿宋" w:eastAsia="仿宋" w:cs="仿宋"/>
          <w:color w:val="auto"/>
          <w:sz w:val="24"/>
          <w:szCs w:val="24"/>
        </w:rPr>
        <w:t>负责；</w:t>
      </w:r>
    </w:p>
    <w:p w14:paraId="78843684">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（4）有公用电话，并配备市内电话簿；</w:t>
      </w:r>
    </w:p>
    <w:p w14:paraId="3429D029">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（5）有男女分设公共卫生间；</w:t>
      </w:r>
    </w:p>
    <w:p w14:paraId="372F94E3">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（6）走廊地面满铺地毯或其他较高档材料，墙面整洁、有装修，24小时光线充足，无障碍物；</w:t>
      </w:r>
    </w:p>
    <w:p w14:paraId="2DD787F0">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）紧急出口标识清楚，位置合理。</w:t>
      </w:r>
    </w:p>
    <w:p w14:paraId="09A6F253">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.11其他服务</w:t>
      </w:r>
    </w:p>
    <w:p w14:paraId="0540939F">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（1）提供传真、复印等服务；</w:t>
      </w:r>
    </w:p>
    <w:p w14:paraId="33AC990B">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（2）有应急供电专用线和应急照明灯；</w:t>
      </w:r>
    </w:p>
    <w:p w14:paraId="1B8CCAC6">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（3）有方便客人投诉的措施。</w:t>
      </w:r>
    </w:p>
    <w:p w14:paraId="0D8289C1">
      <w:pPr>
        <w:snapToGrid w:val="0"/>
        <w:spacing w:line="440" w:lineRule="exact"/>
        <w:rPr>
          <w:rFonts w:hint="eastAsia" w:ascii="仿宋" w:hAnsi="仿宋" w:eastAsia="仿宋" w:cs="仿宋"/>
          <w:b/>
          <w:bCs/>
          <w:color w:val="auto"/>
          <w:sz w:val="24"/>
          <w:szCs w:val="24"/>
        </w:rPr>
      </w:pPr>
      <w:r>
        <w:rPr>
          <w:rStyle w:val="12"/>
          <w:rFonts w:hint="eastAsia" w:ascii="仿宋" w:hAnsi="仿宋" w:eastAsia="仿宋" w:cs="仿宋"/>
          <w:b/>
          <w:bCs/>
          <w:sz w:val="24"/>
          <w:szCs w:val="24"/>
        </w:rPr>
        <w:t>★</w:t>
      </w:r>
      <w:r>
        <w:rPr>
          <w:rStyle w:val="12"/>
          <w:rFonts w:hint="eastAsia" w:ascii="仿宋" w:hAnsi="仿宋" w:eastAsia="仿宋" w:cs="仿宋"/>
          <w:b/>
          <w:bCs/>
          <w:sz w:val="24"/>
          <w:szCs w:val="24"/>
          <w:lang w:val="en-US" w:eastAsia="zh-CN"/>
        </w:rPr>
        <w:t>2</w:t>
      </w:r>
      <w:r>
        <w:rPr>
          <w:rFonts w:hint="eastAsia" w:ascii="仿宋" w:hAnsi="仿宋" w:eastAsia="仿宋" w:cs="仿宋"/>
          <w:b/>
          <w:bCs/>
          <w:color w:val="auto"/>
          <w:sz w:val="24"/>
          <w:szCs w:val="24"/>
        </w:rPr>
        <w:t>.12会议设施</w:t>
      </w:r>
    </w:p>
    <w:p w14:paraId="50C2E053">
      <w:pPr>
        <w:snapToGrid w:val="0"/>
        <w:spacing w:line="44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（1）承接</w:t>
      </w:r>
      <w:r>
        <w:rPr>
          <w:rFonts w:hint="eastAsia" w:ascii="仿宋" w:hAnsi="仿宋" w:eastAsia="仿宋" w:cs="仿宋"/>
          <w:b/>
          <w:bCs/>
          <w:color w:val="auto"/>
          <w:sz w:val="24"/>
          <w:szCs w:val="24"/>
          <w:lang w:eastAsia="zh-CN"/>
        </w:rPr>
        <w:t>二类</w:t>
      </w:r>
      <w:r>
        <w:rPr>
          <w:rFonts w:hint="eastAsia" w:ascii="仿宋" w:hAnsi="仿宋" w:eastAsia="仿宋" w:cs="仿宋"/>
          <w:b/>
          <w:bCs/>
          <w:color w:val="auto"/>
          <w:sz w:val="24"/>
          <w:szCs w:val="24"/>
        </w:rPr>
        <w:t>会议的，应有容纳不少于300人的专用会议厅或多功能厅，并有良好的隔音遮光效果、配设衣帽间</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有不少于3个小型会议室或洽谈室；</w:t>
      </w:r>
    </w:p>
    <w:p w14:paraId="0C24FAD6">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（2）大会议室配备满足会议使用的音响设备，有供租用的多媒体演示设备（电脑、实物投影仪、多媒体投影仪）；</w:t>
      </w:r>
    </w:p>
    <w:p w14:paraId="15899DFD">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）有较宽敞的楼层厅堂和客人休息场所；</w:t>
      </w:r>
    </w:p>
    <w:p w14:paraId="4EC4C317">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）能够根据会议需要设计、布置会议室；</w:t>
      </w:r>
    </w:p>
    <w:p w14:paraId="273293EB">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）会议室设专职服务员，能提供做会标、代购会议用品等服务；</w:t>
      </w:r>
    </w:p>
    <w:p w14:paraId="130AD910">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 xml:space="preserve">）能够提供纸、笔等基本的会议用文具； </w:t>
      </w:r>
    </w:p>
    <w:p w14:paraId="5CDA0552">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）能够提供会议明细账单。</w:t>
      </w:r>
    </w:p>
    <w:p w14:paraId="04BE27E6">
      <w:pPr>
        <w:snapToGrid w:val="0"/>
        <w:spacing w:line="44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协议期内</w:t>
      </w:r>
      <w:r>
        <w:rPr>
          <w:rFonts w:hint="eastAsia" w:ascii="仿宋" w:hAnsi="仿宋" w:eastAsia="仿宋" w:cs="仿宋"/>
          <w:b/>
          <w:bCs/>
          <w:color w:val="auto"/>
          <w:sz w:val="24"/>
          <w:szCs w:val="24"/>
        </w:rPr>
        <w:t>其他服务要求</w:t>
      </w:r>
    </w:p>
    <w:p w14:paraId="12FA0EE5">
      <w:pPr>
        <w:snapToGrid w:val="0"/>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(1)投标人必须对所承接会议接待业务承担保密义务。</w:t>
      </w:r>
    </w:p>
    <w:p w14:paraId="44EBF18D">
      <w:pPr>
        <w:snapToGrid w:val="0"/>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(2)市直机关各单位应享受优先预约会议接待的权利。</w:t>
      </w:r>
    </w:p>
    <w:p w14:paraId="0F1D969A">
      <w:pPr>
        <w:snapToGrid w:val="0"/>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(3)为本项目设立专门的会议服务方案及接待小组。</w:t>
      </w:r>
    </w:p>
    <w:p w14:paraId="2C85EC1C">
      <w:pPr>
        <w:snapToGrid w:val="0"/>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(4)对于承接的会议接待业务，投标人须应单独建立台账或账户核算。</w:t>
      </w:r>
    </w:p>
    <w:p w14:paraId="7802392A">
      <w:pPr>
        <w:snapToGrid w:val="0"/>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(5)中标人应于每半年度结束前七个工作日内向市财政局行政政法科报送会议接待服务情况明细。</w:t>
      </w:r>
    </w:p>
    <w:p w14:paraId="15CE4DB4">
      <w:pPr>
        <w:pStyle w:val="2"/>
        <w:ind w:left="0" w:leftChars="0"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(6)投标人应保证设备设施的完好率应在95%以上。</w:t>
      </w:r>
    </w:p>
    <w:p w14:paraId="0D5D0695">
      <w:pPr>
        <w:pStyle w:val="4"/>
        <w:rPr>
          <w:rFonts w:hint="eastAsia"/>
          <w:lang w:eastAsia="zh-CN"/>
        </w:rPr>
      </w:pPr>
    </w:p>
    <w:p w14:paraId="3A2BF103">
      <w:pPr>
        <w:spacing w:line="440" w:lineRule="exact"/>
        <w:ind w:firstLine="640" w:firstLineChars="200"/>
        <w:rPr>
          <w:rFonts w:hint="eastAsia" w:ascii="仿宋" w:hAnsi="仿宋" w:eastAsia="仿宋"/>
          <w:sz w:val="24"/>
          <w:szCs w:val="24"/>
          <w:lang w:eastAsia="zh-CN"/>
        </w:rPr>
      </w:pPr>
      <w:r>
        <w:rPr>
          <w:rFonts w:hint="eastAsia" w:ascii="楷体_GB2312" w:hAnsi="楷体_GB2312" w:eastAsia="楷体_GB2312" w:cs="楷体_GB2312"/>
          <w:color w:val="000000"/>
          <w:kern w:val="0"/>
          <w:sz w:val="32"/>
          <w:szCs w:val="32"/>
          <w:highlight w:val="none"/>
          <w:lang w:val="en-US" w:eastAsia="zh-CN" w:bidi="ar"/>
        </w:rPr>
        <w:t>第三包：</w:t>
      </w:r>
      <w:r>
        <w:rPr>
          <w:rFonts w:hint="eastAsia" w:ascii="仿宋" w:hAnsi="仿宋" w:eastAsia="仿宋"/>
          <w:sz w:val="24"/>
          <w:szCs w:val="24"/>
          <w:lang w:eastAsia="zh-CN"/>
        </w:rPr>
        <w:t>三类会议，指</w:t>
      </w:r>
      <w:r>
        <w:rPr>
          <w:rFonts w:hint="eastAsia" w:ascii="仿宋" w:hAnsi="仿宋" w:eastAsia="仿宋"/>
          <w:sz w:val="24"/>
          <w:szCs w:val="24"/>
          <w:lang w:val="en-US" w:eastAsia="zh-CN"/>
        </w:rPr>
        <w:t>区</w:t>
      </w:r>
      <w:r>
        <w:rPr>
          <w:rFonts w:hint="eastAsia" w:ascii="仿宋" w:hAnsi="仿宋" w:eastAsia="仿宋"/>
          <w:sz w:val="24"/>
          <w:szCs w:val="24"/>
          <w:lang w:eastAsia="zh-CN"/>
        </w:rPr>
        <w:t>直各部门召开的工作会议；四类会议，指一、二、三类会议以外的其他业务会，包括小型研讨会、座谈会、评审会、</w:t>
      </w:r>
      <w:r>
        <w:rPr>
          <w:rFonts w:hint="eastAsia" w:ascii="仿宋" w:hAnsi="仿宋" w:eastAsia="仿宋"/>
          <w:color w:val="0000FF"/>
          <w:sz w:val="24"/>
          <w:szCs w:val="24"/>
          <w:lang w:eastAsia="zh-CN"/>
        </w:rPr>
        <w:t>培训会等</w:t>
      </w:r>
      <w:r>
        <w:rPr>
          <w:rFonts w:hint="eastAsia" w:ascii="仿宋" w:hAnsi="仿宋" w:eastAsia="仿宋"/>
          <w:sz w:val="24"/>
          <w:szCs w:val="24"/>
          <w:lang w:eastAsia="zh-CN"/>
        </w:rPr>
        <w:t>。</w:t>
      </w:r>
    </w:p>
    <w:p w14:paraId="7F930FC0">
      <w:pPr>
        <w:pStyle w:val="2"/>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2.1</w:t>
      </w:r>
      <w:r>
        <w:rPr>
          <w:rFonts w:hint="eastAsia" w:ascii="仿宋" w:hAnsi="仿宋" w:eastAsia="仿宋" w:cs="仿宋"/>
          <w:color w:val="auto"/>
          <w:sz w:val="24"/>
          <w:szCs w:val="24"/>
          <w:lang w:eastAsia="zh-CN"/>
        </w:rPr>
        <w:t>定点会议场所</w:t>
      </w:r>
      <w:r>
        <w:rPr>
          <w:rFonts w:hint="eastAsia" w:ascii="仿宋" w:hAnsi="仿宋" w:eastAsia="仿宋" w:cs="仿宋"/>
          <w:color w:val="auto"/>
          <w:sz w:val="24"/>
          <w:szCs w:val="24"/>
        </w:rPr>
        <w:t>交通便利、布局合理，方便差旅、会议接待用。</w:t>
      </w:r>
    </w:p>
    <w:p w14:paraId="63D39BBE">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2.2</w:t>
      </w:r>
      <w:r>
        <w:rPr>
          <w:rFonts w:hint="eastAsia" w:ascii="仿宋" w:hAnsi="仿宋" w:eastAsia="仿宋" w:cs="仿宋"/>
          <w:color w:val="auto"/>
          <w:sz w:val="24"/>
          <w:szCs w:val="24"/>
        </w:rPr>
        <w:t>有空调设施，各区域通风良好。</w:t>
      </w:r>
    </w:p>
    <w:p w14:paraId="24EAFC17">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.3设施设备养护良好，达到整洁、卫生和有效。</w:t>
      </w:r>
    </w:p>
    <w:p w14:paraId="7A1917AA">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.4</w:t>
      </w:r>
      <w:r>
        <w:rPr>
          <w:rFonts w:hint="eastAsia" w:ascii="仿宋" w:hAnsi="仿宋" w:eastAsia="仿宋" w:cs="仿宋"/>
          <w:color w:val="auto"/>
          <w:sz w:val="24"/>
          <w:szCs w:val="24"/>
          <w:lang w:eastAsia="zh-CN"/>
        </w:rPr>
        <w:t>定点会议场所</w:t>
      </w:r>
      <w:r>
        <w:rPr>
          <w:rFonts w:hint="eastAsia" w:ascii="仿宋" w:hAnsi="仿宋" w:eastAsia="仿宋" w:cs="仿宋"/>
          <w:color w:val="auto"/>
          <w:sz w:val="24"/>
          <w:szCs w:val="24"/>
        </w:rPr>
        <w:t>的建筑、附属设施、服务项目和运行管理应符合安全、消防、卫生、环境保护等现行的国家有关法规和标准。</w:t>
      </w:r>
    </w:p>
    <w:p w14:paraId="4671493F">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.5前厅</w:t>
      </w:r>
    </w:p>
    <w:p w14:paraId="76ECF4E9">
      <w:pPr>
        <w:snapToGrid w:val="0"/>
        <w:spacing w:line="440" w:lineRule="exact"/>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（1）有与接待能力相适应的前厅。有与</w:t>
      </w:r>
      <w:r>
        <w:rPr>
          <w:rFonts w:hint="eastAsia" w:ascii="仿宋" w:hAnsi="仿宋" w:eastAsia="仿宋" w:cs="仿宋"/>
          <w:color w:val="auto"/>
          <w:sz w:val="24"/>
          <w:szCs w:val="24"/>
          <w:lang w:eastAsia="zh-CN"/>
        </w:rPr>
        <w:t>定点会议场所</w:t>
      </w:r>
      <w:r>
        <w:rPr>
          <w:rFonts w:hint="eastAsia" w:ascii="仿宋" w:hAnsi="仿宋" w:eastAsia="仿宋" w:cs="仿宋"/>
          <w:color w:val="auto"/>
          <w:sz w:val="24"/>
          <w:szCs w:val="24"/>
        </w:rPr>
        <w:t>规模相适应的总服务台；</w:t>
      </w:r>
    </w:p>
    <w:p w14:paraId="67EA644F">
      <w:pPr>
        <w:snapToGrid w:val="0"/>
        <w:spacing w:line="440" w:lineRule="exact"/>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（2）总服务台24小时有工作人员提供接待、问讯、结账和留言服务；</w:t>
      </w:r>
    </w:p>
    <w:p w14:paraId="572A7A99">
      <w:pPr>
        <w:snapToGrid w:val="0"/>
        <w:spacing w:line="44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（3）提供一次性总账单结账服务(商品除外)；</w:t>
      </w:r>
    </w:p>
    <w:p w14:paraId="7A0B12E6">
      <w:pPr>
        <w:snapToGrid w:val="0"/>
        <w:spacing w:line="44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（4）总服务台提供</w:t>
      </w:r>
      <w:r>
        <w:rPr>
          <w:rFonts w:hint="eastAsia" w:ascii="仿宋" w:hAnsi="仿宋" w:eastAsia="仿宋" w:cs="仿宋"/>
          <w:color w:val="auto"/>
          <w:sz w:val="24"/>
          <w:szCs w:val="24"/>
          <w:lang w:eastAsia="zh-CN"/>
        </w:rPr>
        <w:t>定点会议场所</w:t>
      </w:r>
      <w:r>
        <w:rPr>
          <w:rFonts w:hint="eastAsia" w:ascii="仿宋" w:hAnsi="仿宋" w:eastAsia="仿宋" w:cs="仿宋"/>
          <w:color w:val="auto"/>
          <w:sz w:val="24"/>
          <w:szCs w:val="24"/>
        </w:rPr>
        <w:t>服务项目宣传品，</w:t>
      </w:r>
      <w:r>
        <w:rPr>
          <w:rFonts w:hint="eastAsia" w:ascii="仿宋" w:hAnsi="仿宋" w:eastAsia="仿宋" w:cs="仿宋"/>
          <w:color w:val="auto"/>
          <w:sz w:val="24"/>
          <w:szCs w:val="24"/>
          <w:lang w:eastAsia="zh-CN"/>
        </w:rPr>
        <w:t>定点会议场所</w:t>
      </w:r>
      <w:r>
        <w:rPr>
          <w:rFonts w:hint="eastAsia" w:ascii="仿宋" w:hAnsi="仿宋" w:eastAsia="仿宋" w:cs="仿宋"/>
          <w:color w:val="auto"/>
          <w:sz w:val="24"/>
          <w:szCs w:val="24"/>
        </w:rPr>
        <w:t xml:space="preserve">价目表，本市交通图，主要交通工具时刻表、与住店客人相适应的报刊； </w:t>
      </w:r>
    </w:p>
    <w:p w14:paraId="04C28E71">
      <w:pPr>
        <w:snapToGrid w:val="0"/>
        <w:spacing w:line="44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（5）接受客房预订、餐饮预订；</w:t>
      </w:r>
    </w:p>
    <w:p w14:paraId="33F019A5">
      <w:pPr>
        <w:snapToGrid w:val="0"/>
        <w:spacing w:line="44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（6）有可替客人保管贵重物品保险箱；</w:t>
      </w:r>
    </w:p>
    <w:p w14:paraId="237E47C7">
      <w:pPr>
        <w:snapToGrid w:val="0"/>
        <w:spacing w:line="44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（7）为客人提供行李服务。有小件行李存放服务；</w:t>
      </w:r>
    </w:p>
    <w:p w14:paraId="704882F0">
      <w:pPr>
        <w:snapToGrid w:val="0"/>
        <w:spacing w:line="44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（8）设值班经理，24小时接待客人；</w:t>
      </w:r>
    </w:p>
    <w:p w14:paraId="0CC8A4DF">
      <w:pPr>
        <w:snapToGrid w:val="0"/>
        <w:spacing w:line="44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（9）设客人休息场所。</w:t>
      </w:r>
    </w:p>
    <w:p w14:paraId="280072FC">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.6客房</w:t>
      </w:r>
    </w:p>
    <w:p w14:paraId="66A10F2D">
      <w:pPr>
        <w:spacing w:line="440" w:lineRule="exact"/>
        <w:ind w:left="360" w:hanging="360" w:hangingChars="15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(1)会议定点场所应当按要求提供全部客房和会议室。</w:t>
      </w:r>
    </w:p>
    <w:p w14:paraId="52929897">
      <w:pPr>
        <w:snapToGrid w:val="0"/>
        <w:spacing w:line="440" w:lineRule="exact"/>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 装修良好、美观，有软垫床、梳妆台或写字台、衣橱及衣架、座椅或简易沙发、床头柜、床头灯等配套家具。室内满铺地毯、木地板或其他较高档材料。有空调、彩电、闭路电视系统，有至少两种规格的电源插座；</w:t>
      </w:r>
    </w:p>
    <w:p w14:paraId="4C7B9999">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（3）有防盗装置，在显著位置张贴应急疏散图及相关说明；</w:t>
      </w:r>
    </w:p>
    <w:p w14:paraId="7F37C3FA">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（4）有卫生间，装有抽水马桶、梳妆台(配备面盆、梳妆镜)、浴缸或淋浴，配有浴帘或单独淋浴间。采取有效的防滑措施。有良好的照明，有良好的排风系统或排风器、电源插座。24小时供应冷、热水；</w:t>
      </w:r>
    </w:p>
    <w:p w14:paraId="3746E073">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（5）有可直接拨通或通过总机拨通的国内和国际长途的电话。电话机旁备有使用说明；</w:t>
      </w:r>
    </w:p>
    <w:p w14:paraId="3FB22787">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（6）房间具备有效的防噪音及隔音措施；</w:t>
      </w:r>
    </w:p>
    <w:p w14:paraId="0B1C931B">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（7）有与</w:t>
      </w:r>
      <w:r>
        <w:rPr>
          <w:rFonts w:hint="eastAsia" w:ascii="仿宋" w:hAnsi="仿宋" w:eastAsia="仿宋" w:cs="仿宋"/>
          <w:color w:val="auto"/>
          <w:sz w:val="24"/>
          <w:szCs w:val="24"/>
          <w:lang w:eastAsia="zh-CN"/>
        </w:rPr>
        <w:t>定点会议场所</w:t>
      </w:r>
      <w:r>
        <w:rPr>
          <w:rFonts w:hint="eastAsia" w:ascii="仿宋" w:hAnsi="仿宋" w:eastAsia="仿宋" w:cs="仿宋"/>
          <w:color w:val="auto"/>
          <w:sz w:val="24"/>
          <w:szCs w:val="24"/>
        </w:rPr>
        <w:t>相适应的文具用品。有</w:t>
      </w:r>
      <w:r>
        <w:rPr>
          <w:rFonts w:hint="eastAsia" w:ascii="仿宋" w:hAnsi="仿宋" w:eastAsia="仿宋" w:cs="仿宋"/>
          <w:color w:val="auto"/>
          <w:sz w:val="24"/>
          <w:szCs w:val="24"/>
          <w:lang w:eastAsia="zh-CN"/>
        </w:rPr>
        <w:t>定点会议场所</w:t>
      </w:r>
      <w:r>
        <w:rPr>
          <w:rFonts w:hint="eastAsia" w:ascii="仿宋" w:hAnsi="仿宋" w:eastAsia="仿宋" w:cs="仿宋"/>
          <w:color w:val="auto"/>
          <w:sz w:val="24"/>
          <w:szCs w:val="24"/>
        </w:rPr>
        <w:t>服务指南、价目表、住宿规章等；</w:t>
      </w:r>
    </w:p>
    <w:p w14:paraId="7BB6B7EB">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（8）客房、卫生间每天全面整理1次，按客人需求更换床单、被单及枕套，客用品和消耗品补充齐全；</w:t>
      </w:r>
    </w:p>
    <w:p w14:paraId="0CFF39B4">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（9）床上用棉织品(床单、枕芯、枕套、棉被及被单等)及卫生间棉织品(浴衣、浴巾、毛巾等)材质良好、柔软舒适；</w:t>
      </w:r>
    </w:p>
    <w:p w14:paraId="43F7B85D">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（10）24小时提供冷热饮用水及免费提供茶叶；</w:t>
      </w:r>
    </w:p>
    <w:p w14:paraId="6767FDAD">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（11）客人在房间会客，可应要求免费提供桌椅和茶水服务；</w:t>
      </w:r>
    </w:p>
    <w:p w14:paraId="17A534B3">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（12）提供开夜床、叫醒、留言、洗衣、送餐等服务。</w:t>
      </w:r>
    </w:p>
    <w:p w14:paraId="099640B4">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.7餐厅</w:t>
      </w:r>
    </w:p>
    <w:p w14:paraId="51052273">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（1）有餐厅，提供早、中、晚餐服务；</w:t>
      </w:r>
    </w:p>
    <w:p w14:paraId="65A760B5">
      <w:pPr>
        <w:snapToGrid w:val="0"/>
        <w:spacing w:line="440" w:lineRule="exact"/>
        <w:ind w:firstLine="482" w:firstLineChars="200"/>
        <w:rPr>
          <w:rFonts w:hint="eastAsia" w:ascii="仿宋" w:hAnsi="仿宋" w:eastAsia="仿宋" w:cs="仿宋"/>
          <w:b/>
          <w:bCs/>
          <w:color w:val="auto"/>
          <w:sz w:val="24"/>
          <w:szCs w:val="24"/>
        </w:rPr>
      </w:pPr>
      <w:r>
        <w:rPr>
          <w:rStyle w:val="12"/>
          <w:rFonts w:hint="eastAsia" w:ascii="仿宋" w:hAnsi="仿宋" w:eastAsia="仿宋" w:cs="仿宋"/>
          <w:b/>
          <w:bCs/>
          <w:sz w:val="24"/>
          <w:szCs w:val="24"/>
        </w:rPr>
        <w:t>★</w:t>
      </w:r>
      <w:r>
        <w:rPr>
          <w:rFonts w:hint="eastAsia" w:ascii="仿宋" w:hAnsi="仿宋" w:eastAsia="仿宋" w:cs="仿宋"/>
          <w:b/>
          <w:bCs/>
          <w:color w:val="auto"/>
          <w:sz w:val="24"/>
          <w:szCs w:val="24"/>
        </w:rPr>
        <w:t>（2）总餐位数与客房接待能力相适应：</w:t>
      </w:r>
    </w:p>
    <w:p w14:paraId="27222B89">
      <w:pPr>
        <w:snapToGrid w:val="0"/>
        <w:spacing w:line="44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承接</w:t>
      </w:r>
      <w:r>
        <w:rPr>
          <w:rFonts w:hint="eastAsia" w:ascii="仿宋" w:hAnsi="仿宋" w:eastAsia="仿宋" w:cs="仿宋"/>
          <w:b/>
          <w:bCs/>
          <w:color w:val="auto"/>
          <w:sz w:val="24"/>
          <w:szCs w:val="24"/>
        </w:rPr>
        <w:t>三、四类会议的，应容纳不少于1</w:t>
      </w:r>
      <w:r>
        <w:rPr>
          <w:rFonts w:hint="eastAsia" w:ascii="仿宋" w:hAnsi="仿宋" w:eastAsia="仿宋" w:cs="仿宋"/>
          <w:b/>
          <w:bCs/>
          <w:color w:val="auto"/>
          <w:sz w:val="24"/>
          <w:szCs w:val="24"/>
          <w:lang w:val="en-US" w:eastAsia="zh-CN"/>
        </w:rPr>
        <w:t>00</w:t>
      </w:r>
      <w:r>
        <w:rPr>
          <w:rFonts w:hint="eastAsia" w:ascii="仿宋" w:hAnsi="仿宋" w:eastAsia="仿宋" w:cs="仿宋"/>
          <w:b/>
          <w:bCs/>
          <w:color w:val="auto"/>
          <w:sz w:val="24"/>
          <w:szCs w:val="24"/>
        </w:rPr>
        <w:t>人的餐厅，配有专门厨房；</w:t>
      </w:r>
    </w:p>
    <w:p w14:paraId="586B438E">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（3）有中餐厅。晚餐结束客人点菜时间不早于21时；</w:t>
      </w:r>
    </w:p>
    <w:p w14:paraId="26151AFD">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（4）有适量的宴会单间或小宴会厅。</w:t>
      </w:r>
      <w:r>
        <w:rPr>
          <w:rFonts w:hint="eastAsia" w:ascii="仿宋" w:hAnsi="仿宋" w:eastAsia="仿宋" w:cs="仿宋"/>
          <w:color w:val="auto"/>
          <w:sz w:val="24"/>
          <w:szCs w:val="24"/>
          <w:lang w:eastAsia="zh-CN"/>
        </w:rPr>
        <w:t>可</w:t>
      </w:r>
      <w:r>
        <w:rPr>
          <w:rFonts w:hint="eastAsia" w:ascii="仿宋" w:hAnsi="仿宋" w:eastAsia="仿宋" w:cs="仿宋"/>
          <w:color w:val="auto"/>
          <w:sz w:val="24"/>
          <w:szCs w:val="24"/>
        </w:rPr>
        <w:t>提供中西式宴会服务、自助餐及清真服务；</w:t>
      </w:r>
    </w:p>
    <w:p w14:paraId="2E090810">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（5）餐具无破损，卫生、光洁。</w:t>
      </w:r>
    </w:p>
    <w:p w14:paraId="16A9FFB1">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.8厨房</w:t>
      </w:r>
    </w:p>
    <w:p w14:paraId="5176130D">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（1）位置合理，墙面满铺瓷砖，用防滑材料满铺地面；</w:t>
      </w:r>
    </w:p>
    <w:p w14:paraId="1126FFB6">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（2）全部使用工作台及优质的厨柜、厨具、用具，有洗刷、消毒设备；</w:t>
      </w:r>
    </w:p>
    <w:p w14:paraId="7DD81958">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（3）有足够的冷气设备。冷菜间、面点间应独立分隔，冷菜间温度符合食品卫生标准，内有空气消毒设施；</w:t>
      </w:r>
    </w:p>
    <w:p w14:paraId="5A823DD4">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（4）粗加工间与其他操作间隔离，各操作间温度适宜；</w:t>
      </w:r>
    </w:p>
    <w:p w14:paraId="36881BDE">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（5）有必要的冷藏、冷冻设施；</w:t>
      </w:r>
    </w:p>
    <w:p w14:paraId="6688445B">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（6）有专门放置临时垃圾的设施并保持其封闭；</w:t>
      </w:r>
    </w:p>
    <w:p w14:paraId="21E542EA">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（7）厨房与餐厅之间，有起隔音、隔热和隔气味作用的进出分开的</w:t>
      </w:r>
      <w:r>
        <w:rPr>
          <w:rFonts w:hint="eastAsia" w:ascii="仿宋" w:hAnsi="仿宋" w:eastAsia="仿宋" w:cs="仿宋"/>
          <w:color w:val="auto"/>
          <w:sz w:val="24"/>
          <w:szCs w:val="24"/>
          <w:lang w:eastAsia="zh-CN"/>
        </w:rPr>
        <w:t>设备</w:t>
      </w:r>
      <w:r>
        <w:rPr>
          <w:rFonts w:hint="eastAsia" w:ascii="仿宋" w:hAnsi="仿宋" w:eastAsia="仿宋" w:cs="仿宋"/>
          <w:color w:val="auto"/>
          <w:sz w:val="24"/>
          <w:szCs w:val="24"/>
        </w:rPr>
        <w:t>；</w:t>
      </w:r>
    </w:p>
    <w:p w14:paraId="0BC75278">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（8）采取有效的消杀蚊绳、蟑螂等虫害措施。</w:t>
      </w:r>
    </w:p>
    <w:p w14:paraId="274795BA">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.9会议康乐设施：有会议康乐设施设备，并提供相应服务。</w:t>
      </w:r>
    </w:p>
    <w:p w14:paraId="3C6C6257">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.10公共区域</w:t>
      </w:r>
    </w:p>
    <w:p w14:paraId="52B6D8CD">
      <w:pPr>
        <w:snapToGrid w:val="0"/>
        <w:spacing w:line="440" w:lineRule="exact"/>
        <w:ind w:firstLine="482"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（1）有与</w:t>
      </w:r>
      <w:r>
        <w:rPr>
          <w:rFonts w:hint="eastAsia" w:ascii="仿宋" w:hAnsi="仿宋" w:eastAsia="仿宋" w:cs="仿宋"/>
          <w:b/>
          <w:bCs/>
          <w:color w:val="auto"/>
          <w:sz w:val="24"/>
          <w:szCs w:val="24"/>
          <w:lang w:eastAsia="zh-CN"/>
        </w:rPr>
        <w:t>定点会议场所</w:t>
      </w:r>
      <w:r>
        <w:rPr>
          <w:rFonts w:hint="eastAsia" w:ascii="仿宋" w:hAnsi="仿宋" w:eastAsia="仿宋" w:cs="仿宋"/>
          <w:b/>
          <w:bCs/>
          <w:color w:val="auto"/>
          <w:sz w:val="24"/>
          <w:szCs w:val="24"/>
        </w:rPr>
        <w:t>规模相适应的停车场，自备停车位不少于房间数的15%；</w:t>
      </w:r>
    </w:p>
    <w:p w14:paraId="4764B678">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（2）会议接待免收任何形式的停车费；</w:t>
      </w:r>
    </w:p>
    <w:p w14:paraId="4704E531">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（3）会议接待期间，参会车辆的安全责任由</w:t>
      </w:r>
      <w:r>
        <w:rPr>
          <w:rFonts w:hint="eastAsia" w:ascii="仿宋" w:hAnsi="仿宋" w:eastAsia="仿宋" w:cs="仿宋"/>
          <w:color w:val="auto"/>
          <w:sz w:val="24"/>
          <w:szCs w:val="24"/>
          <w:lang w:eastAsia="zh-CN"/>
        </w:rPr>
        <w:t>定点会议场所</w:t>
      </w:r>
      <w:r>
        <w:rPr>
          <w:rFonts w:hint="eastAsia" w:ascii="仿宋" w:hAnsi="仿宋" w:eastAsia="仿宋" w:cs="仿宋"/>
          <w:color w:val="auto"/>
          <w:sz w:val="24"/>
          <w:szCs w:val="24"/>
        </w:rPr>
        <w:t>负责；</w:t>
      </w:r>
    </w:p>
    <w:p w14:paraId="062A3A40">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（4）有公用电话，并配备市内电话簿；</w:t>
      </w:r>
    </w:p>
    <w:p w14:paraId="235BAE01">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（5）有男女分设公共卫生间；</w:t>
      </w:r>
    </w:p>
    <w:p w14:paraId="7C6BCCD4">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（6）走廊地面满铺地毯或其他较高档材料，墙面整洁、有装修，24小时光线充足，无障碍物；</w:t>
      </w:r>
    </w:p>
    <w:p w14:paraId="3A79E060">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）紧急出口标识清楚，位置合理。</w:t>
      </w:r>
    </w:p>
    <w:p w14:paraId="6C9367C3">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.11其他服务</w:t>
      </w:r>
    </w:p>
    <w:p w14:paraId="38A31201">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（1）提供传真、复印等服务；</w:t>
      </w:r>
    </w:p>
    <w:p w14:paraId="1A1C0269">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（2）有应急供电专用线和应急照明灯；</w:t>
      </w:r>
    </w:p>
    <w:p w14:paraId="070927A8">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（3）有方便客人投诉的措施。</w:t>
      </w:r>
    </w:p>
    <w:p w14:paraId="1E13BD1A">
      <w:pPr>
        <w:snapToGrid w:val="0"/>
        <w:spacing w:line="440" w:lineRule="exact"/>
        <w:rPr>
          <w:rFonts w:hint="eastAsia" w:ascii="仿宋" w:hAnsi="仿宋" w:eastAsia="仿宋" w:cs="仿宋"/>
          <w:b/>
          <w:bCs/>
          <w:color w:val="auto"/>
          <w:sz w:val="24"/>
          <w:szCs w:val="24"/>
        </w:rPr>
      </w:pPr>
      <w:r>
        <w:rPr>
          <w:rStyle w:val="12"/>
          <w:rFonts w:hint="eastAsia" w:ascii="仿宋" w:hAnsi="仿宋" w:eastAsia="仿宋" w:cs="仿宋"/>
          <w:b/>
          <w:bCs/>
          <w:sz w:val="24"/>
          <w:szCs w:val="24"/>
        </w:rPr>
        <w:t>★</w:t>
      </w:r>
      <w:r>
        <w:rPr>
          <w:rStyle w:val="12"/>
          <w:rFonts w:hint="eastAsia" w:ascii="仿宋" w:hAnsi="仿宋" w:eastAsia="仿宋" w:cs="仿宋"/>
          <w:b/>
          <w:bCs/>
          <w:sz w:val="24"/>
          <w:szCs w:val="24"/>
          <w:lang w:val="en-US" w:eastAsia="zh-CN"/>
        </w:rPr>
        <w:t>2</w:t>
      </w:r>
      <w:r>
        <w:rPr>
          <w:rFonts w:hint="eastAsia" w:ascii="仿宋" w:hAnsi="仿宋" w:eastAsia="仿宋" w:cs="仿宋"/>
          <w:b/>
          <w:bCs/>
          <w:color w:val="auto"/>
          <w:sz w:val="24"/>
          <w:szCs w:val="24"/>
        </w:rPr>
        <w:t>.12会议设施</w:t>
      </w:r>
    </w:p>
    <w:p w14:paraId="5CFA2CCD">
      <w:pPr>
        <w:snapToGrid w:val="0"/>
        <w:spacing w:line="44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（1）承接三、四类会议的，应有容纳不少于1</w:t>
      </w:r>
      <w:r>
        <w:rPr>
          <w:rFonts w:hint="eastAsia" w:ascii="仿宋" w:hAnsi="仿宋" w:eastAsia="仿宋" w:cs="仿宋"/>
          <w:b/>
          <w:bCs/>
          <w:color w:val="auto"/>
          <w:sz w:val="24"/>
          <w:szCs w:val="24"/>
          <w:lang w:val="en-US" w:eastAsia="zh-CN"/>
        </w:rPr>
        <w:t>00</w:t>
      </w:r>
      <w:r>
        <w:rPr>
          <w:rFonts w:hint="eastAsia" w:ascii="仿宋" w:hAnsi="仿宋" w:eastAsia="仿宋" w:cs="仿宋"/>
          <w:b/>
          <w:bCs/>
          <w:color w:val="auto"/>
          <w:sz w:val="24"/>
          <w:szCs w:val="24"/>
        </w:rPr>
        <w:t>人的专用会议厅或多功能厅并有良好的隔音遮光效果、配设衣帽间</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有不少于</w:t>
      </w: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个小型会议室或洽谈室；</w:t>
      </w:r>
    </w:p>
    <w:p w14:paraId="25A39D1B">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（2）大会议室配备满足会议使用的音响设备，有供租用的多媒体演示设备（电脑、实物投影仪、多媒体投影仪）；</w:t>
      </w:r>
    </w:p>
    <w:p w14:paraId="19E8EE5C">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）有较宽敞的楼层厅堂和客人休息场所；</w:t>
      </w:r>
    </w:p>
    <w:p w14:paraId="34C17DF1">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）能够根据会议需要设计、布置会议室；</w:t>
      </w:r>
    </w:p>
    <w:p w14:paraId="31031B27">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）会议室设专职服务员，能提供做会标、代购会议用品等服务；</w:t>
      </w:r>
    </w:p>
    <w:p w14:paraId="41CFEAB2">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 xml:space="preserve">）能够提供纸、笔等基本的会议用文具； </w:t>
      </w:r>
    </w:p>
    <w:p w14:paraId="0B450299">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）能够提供会议明细账单。</w:t>
      </w:r>
    </w:p>
    <w:p w14:paraId="52BFB88E">
      <w:pPr>
        <w:pStyle w:val="2"/>
        <w:ind w:left="0" w:leftChars="0" w:firstLine="0" w:firstLineChars="0"/>
        <w:rPr>
          <w:rFonts w:hint="default" w:eastAsia="仿宋"/>
          <w:b/>
          <w:bCs/>
          <w:sz w:val="28"/>
          <w:szCs w:val="28"/>
          <w:lang w:val="en-US" w:eastAsia="zh-CN"/>
        </w:rPr>
      </w:pPr>
      <w:r>
        <w:rPr>
          <w:rFonts w:hint="eastAsia" w:ascii="仿宋" w:hAnsi="仿宋" w:eastAsia="仿宋" w:cs="仿宋"/>
          <w:b/>
          <w:bCs/>
          <w:color w:val="auto"/>
          <w:sz w:val="28"/>
          <w:szCs w:val="28"/>
          <w:lang w:eastAsia="zh-CN"/>
        </w:rPr>
        <w:t>注：第三包的投标供应商可具备，也可不具备住宿条件，不具备住宿条件的供应商不必满足住宿相关要求。</w:t>
      </w:r>
    </w:p>
    <w:p w14:paraId="4FDEAD4B">
      <w:pPr>
        <w:snapToGrid w:val="0"/>
        <w:spacing w:line="44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协议期内</w:t>
      </w:r>
      <w:r>
        <w:rPr>
          <w:rFonts w:hint="eastAsia" w:ascii="仿宋" w:hAnsi="仿宋" w:eastAsia="仿宋" w:cs="仿宋"/>
          <w:b/>
          <w:bCs/>
          <w:color w:val="auto"/>
          <w:sz w:val="24"/>
          <w:szCs w:val="24"/>
        </w:rPr>
        <w:t>其他服务要求</w:t>
      </w:r>
    </w:p>
    <w:p w14:paraId="70734256">
      <w:pPr>
        <w:snapToGrid w:val="0"/>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(1)投标人必须对所承接会议接待业务承担保密义务。</w:t>
      </w:r>
    </w:p>
    <w:p w14:paraId="458F5973">
      <w:pPr>
        <w:snapToGrid w:val="0"/>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(2)市直机关各单位应享受优先预约会议接待的权利。</w:t>
      </w:r>
    </w:p>
    <w:p w14:paraId="0D0246EA">
      <w:pPr>
        <w:snapToGrid w:val="0"/>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(3)为本项目设立专门的会议服务方案及接待小组。</w:t>
      </w:r>
    </w:p>
    <w:p w14:paraId="0080B860">
      <w:pPr>
        <w:snapToGrid w:val="0"/>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(4)对于承接的会议接待业务，投标人须应单独建立台账或账户核算。</w:t>
      </w:r>
    </w:p>
    <w:p w14:paraId="23D7585F">
      <w:pPr>
        <w:snapToGrid w:val="0"/>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(5)中标人应于每半年度结束前七个工作日内向</w:t>
      </w:r>
      <w:r>
        <w:rPr>
          <w:rFonts w:hint="eastAsia" w:ascii="仿宋" w:hAnsi="仿宋" w:eastAsia="仿宋" w:cs="仿宋"/>
          <w:bCs/>
          <w:color w:val="auto"/>
          <w:sz w:val="24"/>
          <w:szCs w:val="24"/>
          <w:lang w:eastAsia="zh-CN"/>
        </w:rPr>
        <w:t>华容区</w:t>
      </w:r>
      <w:r>
        <w:rPr>
          <w:rFonts w:hint="eastAsia" w:ascii="仿宋" w:hAnsi="仿宋" w:eastAsia="仿宋" w:cs="仿宋"/>
          <w:bCs/>
          <w:color w:val="auto"/>
          <w:sz w:val="24"/>
          <w:szCs w:val="24"/>
        </w:rPr>
        <w:t>财政局行政政法</w:t>
      </w:r>
      <w:r>
        <w:rPr>
          <w:rFonts w:hint="eastAsia" w:ascii="仿宋" w:hAnsi="仿宋" w:eastAsia="仿宋" w:cs="仿宋"/>
          <w:bCs/>
          <w:color w:val="auto"/>
          <w:sz w:val="24"/>
          <w:szCs w:val="24"/>
          <w:lang w:eastAsia="zh-CN"/>
        </w:rPr>
        <w:t>股</w:t>
      </w:r>
      <w:r>
        <w:rPr>
          <w:rFonts w:hint="eastAsia" w:ascii="仿宋" w:hAnsi="仿宋" w:eastAsia="仿宋" w:cs="仿宋"/>
          <w:bCs/>
          <w:color w:val="auto"/>
          <w:sz w:val="24"/>
          <w:szCs w:val="24"/>
        </w:rPr>
        <w:t>报送会议接待服务情况明细。</w:t>
      </w:r>
    </w:p>
    <w:p w14:paraId="341C9461">
      <w:pPr>
        <w:pStyle w:val="2"/>
        <w:rPr>
          <w:rFonts w:hint="eastAsia"/>
          <w:lang w:val="en-US" w:eastAsia="zh-CN"/>
        </w:rPr>
      </w:pPr>
      <w:r>
        <w:rPr>
          <w:rFonts w:hint="eastAsia" w:ascii="仿宋" w:hAnsi="仿宋" w:eastAsia="仿宋" w:cs="仿宋"/>
          <w:bCs/>
          <w:color w:val="auto"/>
          <w:sz w:val="24"/>
          <w:szCs w:val="24"/>
        </w:rPr>
        <w:t>(6)投标人应保证设备设施的完好率应在95%以上。</w:t>
      </w:r>
    </w:p>
    <w:p w14:paraId="5F192F59">
      <w:pPr>
        <w:pStyle w:val="6"/>
        <w:numPr>
          <w:ilvl w:val="0"/>
          <w:numId w:val="2"/>
        </w:numPr>
        <w:spacing w:before="0" w:after="0" w:line="360" w:lineRule="auto"/>
        <w:ind w:left="-420" w:leftChars="0" w:firstLine="420" w:firstLineChars="0"/>
        <w:jc w:val="left"/>
        <w:rPr>
          <w:rFonts w:hint="eastAsia" w:ascii="仿宋" w:hAnsi="仿宋" w:eastAsia="仿宋"/>
          <w:bCs w:val="0"/>
          <w:sz w:val="24"/>
          <w:szCs w:val="24"/>
          <w:lang w:val="zh-CN"/>
        </w:rPr>
      </w:pPr>
      <w:r>
        <w:rPr>
          <w:rFonts w:hint="eastAsia" w:ascii="仿宋" w:hAnsi="仿宋" w:eastAsia="仿宋"/>
          <w:bCs w:val="0"/>
          <w:sz w:val="24"/>
          <w:szCs w:val="24"/>
          <w:lang w:val="zh-CN"/>
        </w:rPr>
        <w:t>基本要求</w:t>
      </w:r>
      <w:bookmarkEnd w:id="10"/>
      <w:bookmarkEnd w:id="11"/>
      <w:bookmarkEnd w:id="12"/>
      <w:bookmarkEnd w:id="13"/>
      <w:bookmarkEnd w:id="14"/>
    </w:p>
    <w:p w14:paraId="0E002A22">
      <w:pPr>
        <w:spacing w:line="440" w:lineRule="exact"/>
        <w:ind w:firstLine="480" w:firstLineChars="200"/>
        <w:rPr>
          <w:rFonts w:hint="eastAsia" w:ascii="仿宋" w:hAnsi="仿宋" w:eastAsia="仿宋" w:cs="仿宋"/>
          <w:color w:val="auto"/>
          <w:sz w:val="24"/>
          <w:szCs w:val="24"/>
        </w:rPr>
      </w:pPr>
      <w:bookmarkStart w:id="15" w:name="_Toc26535"/>
      <w:r>
        <w:rPr>
          <w:rFonts w:hint="eastAsia" w:ascii="仿宋" w:hAnsi="仿宋" w:eastAsia="仿宋" w:cs="仿宋"/>
          <w:color w:val="auto"/>
          <w:sz w:val="24"/>
          <w:szCs w:val="24"/>
        </w:rPr>
        <w:t>本次选定的</w:t>
      </w:r>
      <w:r>
        <w:rPr>
          <w:rFonts w:hint="eastAsia" w:ascii="仿宋" w:hAnsi="仿宋" w:eastAsia="仿宋" w:cs="仿宋"/>
          <w:color w:val="auto"/>
          <w:sz w:val="24"/>
          <w:szCs w:val="24"/>
          <w:lang w:eastAsia="zh-CN"/>
        </w:rPr>
        <w:t>会议</w:t>
      </w:r>
      <w:r>
        <w:rPr>
          <w:rFonts w:hint="eastAsia" w:ascii="仿宋" w:hAnsi="仿宋" w:eastAsia="仿宋" w:cs="仿宋"/>
          <w:color w:val="auto"/>
          <w:sz w:val="24"/>
          <w:szCs w:val="24"/>
        </w:rPr>
        <w:t>定点</w:t>
      </w:r>
      <w:r>
        <w:rPr>
          <w:rFonts w:hint="eastAsia" w:ascii="仿宋" w:hAnsi="仿宋" w:eastAsia="仿宋" w:cs="仿宋"/>
          <w:color w:val="auto"/>
          <w:sz w:val="24"/>
          <w:szCs w:val="24"/>
          <w:lang w:eastAsia="zh-CN"/>
        </w:rPr>
        <w:t>场所</w:t>
      </w:r>
      <w:r>
        <w:rPr>
          <w:rFonts w:hint="eastAsia" w:ascii="仿宋" w:hAnsi="仿宋" w:eastAsia="仿宋" w:cs="仿宋"/>
          <w:color w:val="auto"/>
          <w:sz w:val="24"/>
          <w:szCs w:val="24"/>
        </w:rPr>
        <w:t>必须按承诺价格给予党政机关（包含中央和省级</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市级</w:t>
      </w:r>
      <w:r>
        <w:rPr>
          <w:rFonts w:hint="eastAsia" w:ascii="仿宋" w:hAnsi="仿宋" w:eastAsia="仿宋" w:cs="仿宋"/>
          <w:color w:val="auto"/>
          <w:sz w:val="24"/>
          <w:szCs w:val="24"/>
        </w:rPr>
        <w:t>）在</w:t>
      </w:r>
      <w:r>
        <w:rPr>
          <w:rFonts w:hint="eastAsia" w:ascii="仿宋" w:hAnsi="仿宋" w:eastAsia="仿宋" w:cs="仿宋"/>
          <w:color w:val="auto"/>
          <w:sz w:val="24"/>
          <w:szCs w:val="24"/>
          <w:lang w:val="en-US" w:eastAsia="zh-CN"/>
        </w:rPr>
        <w:t>华容区</w:t>
      </w:r>
      <w:r>
        <w:rPr>
          <w:rFonts w:hint="eastAsia" w:ascii="仿宋" w:hAnsi="仿宋" w:eastAsia="仿宋" w:cs="仿宋"/>
          <w:color w:val="auto"/>
          <w:sz w:val="24"/>
          <w:szCs w:val="24"/>
        </w:rPr>
        <w:t>举行会议同等优惠，承诺价格不得高于限制价格，同时不得高于对外提供的其他优惠价格。</w:t>
      </w:r>
    </w:p>
    <w:p w14:paraId="0E9972A6">
      <w:pPr>
        <w:spacing w:line="44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会议定点</w:t>
      </w:r>
      <w:r>
        <w:rPr>
          <w:rFonts w:hint="eastAsia" w:ascii="仿宋" w:hAnsi="仿宋" w:eastAsia="仿宋" w:cs="仿宋"/>
          <w:b/>
          <w:bCs/>
          <w:color w:val="auto"/>
          <w:sz w:val="24"/>
          <w:szCs w:val="24"/>
          <w:lang w:eastAsia="zh-CN"/>
        </w:rPr>
        <w:t>会议场所</w:t>
      </w:r>
      <w:r>
        <w:rPr>
          <w:rFonts w:hint="eastAsia" w:ascii="仿宋" w:hAnsi="仿宋" w:eastAsia="仿宋" w:cs="仿宋"/>
          <w:b/>
          <w:bCs/>
          <w:color w:val="auto"/>
          <w:sz w:val="24"/>
          <w:szCs w:val="24"/>
        </w:rPr>
        <w:t>应当于签订履约协议后</w:t>
      </w: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rPr>
        <w:t>个工作日内，在“党政机关会议定点场所查询网”注册，填报相关信息。</w:t>
      </w:r>
    </w:p>
    <w:p w14:paraId="5BF8147A">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会议</w:t>
      </w:r>
      <w:r>
        <w:rPr>
          <w:rFonts w:hint="eastAsia" w:ascii="仿宋" w:hAnsi="仿宋" w:eastAsia="仿宋" w:cs="仿宋"/>
          <w:color w:val="auto"/>
          <w:sz w:val="24"/>
          <w:szCs w:val="24"/>
        </w:rPr>
        <w:t>定点</w:t>
      </w:r>
      <w:r>
        <w:rPr>
          <w:rFonts w:hint="eastAsia" w:ascii="仿宋" w:hAnsi="仿宋" w:eastAsia="仿宋" w:cs="仿宋"/>
          <w:color w:val="auto"/>
          <w:sz w:val="24"/>
          <w:szCs w:val="24"/>
          <w:lang w:eastAsia="zh-CN"/>
        </w:rPr>
        <w:t>场所</w:t>
      </w:r>
      <w:r>
        <w:rPr>
          <w:rFonts w:hint="eastAsia" w:ascii="仿宋" w:hAnsi="仿宋" w:eastAsia="仿宋" w:cs="仿宋"/>
          <w:color w:val="auto"/>
          <w:sz w:val="24"/>
          <w:szCs w:val="24"/>
        </w:rPr>
        <w:t>应当加强对前台接待人员、销售人员和财务人员的培训，使其掌握定点</w:t>
      </w:r>
      <w:r>
        <w:rPr>
          <w:rFonts w:hint="eastAsia" w:ascii="仿宋" w:hAnsi="仿宋" w:eastAsia="仿宋" w:cs="仿宋"/>
          <w:color w:val="auto"/>
          <w:sz w:val="24"/>
          <w:szCs w:val="24"/>
          <w:lang w:eastAsia="zh-CN"/>
        </w:rPr>
        <w:t>会议场所</w:t>
      </w:r>
      <w:r>
        <w:rPr>
          <w:rFonts w:hint="eastAsia" w:ascii="仿宋" w:hAnsi="仿宋" w:eastAsia="仿宋" w:cs="仿宋"/>
          <w:color w:val="auto"/>
          <w:sz w:val="24"/>
          <w:szCs w:val="24"/>
        </w:rPr>
        <w:t>相关政策及接待协议的相关内容。</w:t>
      </w:r>
      <w:r>
        <w:rPr>
          <w:rFonts w:hint="eastAsia" w:ascii="仿宋" w:hAnsi="仿宋" w:eastAsia="仿宋" w:cs="仿宋"/>
          <w:color w:val="auto"/>
          <w:sz w:val="24"/>
          <w:szCs w:val="24"/>
          <w:lang w:eastAsia="zh-CN"/>
        </w:rPr>
        <w:t>会议</w:t>
      </w:r>
      <w:r>
        <w:rPr>
          <w:rFonts w:hint="eastAsia" w:ascii="仿宋" w:hAnsi="仿宋" w:eastAsia="仿宋" w:cs="仿宋"/>
          <w:color w:val="auto"/>
          <w:sz w:val="24"/>
          <w:szCs w:val="24"/>
        </w:rPr>
        <w:t>定点</w:t>
      </w:r>
      <w:r>
        <w:rPr>
          <w:rFonts w:hint="eastAsia" w:ascii="仿宋" w:hAnsi="仿宋" w:eastAsia="仿宋" w:cs="仿宋"/>
          <w:color w:val="auto"/>
          <w:sz w:val="24"/>
          <w:szCs w:val="24"/>
          <w:lang w:eastAsia="zh-CN"/>
        </w:rPr>
        <w:t>场所</w:t>
      </w:r>
      <w:r>
        <w:rPr>
          <w:rFonts w:hint="eastAsia" w:ascii="仿宋" w:hAnsi="仿宋" w:eastAsia="仿宋" w:cs="仿宋"/>
          <w:color w:val="auto"/>
          <w:sz w:val="24"/>
          <w:szCs w:val="24"/>
        </w:rPr>
        <w:t>在承办会议时，应当要求客人出示有效证件并登记联系电话，主动提供协议价格、投诉电话。对各级党政机关和事业单位各类会议的收费应当给予优惠，收费标准</w:t>
      </w:r>
      <w:r>
        <w:rPr>
          <w:rFonts w:hint="eastAsia" w:ascii="仿宋" w:hAnsi="仿宋" w:eastAsia="仿宋" w:cs="仿宋"/>
          <w:color w:val="auto"/>
          <w:sz w:val="24"/>
          <w:szCs w:val="24"/>
          <w:lang w:eastAsia="zh-CN"/>
        </w:rPr>
        <w:t>不得高于</w:t>
      </w:r>
      <w:r>
        <w:rPr>
          <w:rFonts w:hint="eastAsia" w:ascii="仿宋" w:hAnsi="仿宋" w:eastAsia="仿宋" w:cs="仿宋"/>
          <w:color w:val="auto"/>
          <w:sz w:val="24"/>
          <w:szCs w:val="24"/>
        </w:rPr>
        <w:t>对外提供的其他优惠价格。</w:t>
      </w:r>
    </w:p>
    <w:p w14:paraId="165FA8EB">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会议</w:t>
      </w:r>
      <w:r>
        <w:rPr>
          <w:rFonts w:hint="eastAsia" w:ascii="仿宋" w:hAnsi="仿宋" w:eastAsia="仿宋" w:cs="仿宋"/>
          <w:color w:val="auto"/>
          <w:sz w:val="24"/>
          <w:szCs w:val="24"/>
        </w:rPr>
        <w:t>定点</w:t>
      </w:r>
      <w:r>
        <w:rPr>
          <w:rFonts w:hint="eastAsia" w:ascii="仿宋" w:hAnsi="仿宋" w:eastAsia="仿宋" w:cs="仿宋"/>
          <w:color w:val="auto"/>
          <w:sz w:val="24"/>
          <w:szCs w:val="24"/>
          <w:lang w:eastAsia="zh-CN"/>
        </w:rPr>
        <w:t>场所</w:t>
      </w:r>
      <w:r>
        <w:rPr>
          <w:rFonts w:hint="eastAsia" w:ascii="仿宋" w:hAnsi="仿宋" w:eastAsia="仿宋" w:cs="仿宋"/>
          <w:color w:val="auto"/>
          <w:sz w:val="24"/>
          <w:szCs w:val="24"/>
        </w:rPr>
        <w:t>确有下列违约行为之一的，一经查实，将</w:t>
      </w:r>
      <w:r>
        <w:rPr>
          <w:rFonts w:hint="eastAsia" w:ascii="仿宋" w:hAnsi="仿宋" w:eastAsia="仿宋" w:cs="仿宋"/>
          <w:color w:val="auto"/>
          <w:sz w:val="24"/>
          <w:szCs w:val="24"/>
          <w:lang w:eastAsia="zh-CN"/>
        </w:rPr>
        <w:t>取消会议定点场所资格。</w:t>
      </w:r>
      <w:r>
        <w:rPr>
          <w:rFonts w:hint="eastAsia" w:ascii="仿宋" w:hAnsi="仿宋" w:eastAsia="仿宋" w:cs="仿宋"/>
          <w:color w:val="auto"/>
          <w:sz w:val="24"/>
          <w:szCs w:val="24"/>
        </w:rPr>
        <w:t>违约行为包括：</w:t>
      </w:r>
    </w:p>
    <w:p w14:paraId="165A5CDB">
      <w:pPr>
        <w:spacing w:line="440" w:lineRule="exact"/>
        <w:ind w:firstLine="555"/>
        <w:rPr>
          <w:rFonts w:hint="eastAsia" w:ascii="仿宋" w:hAnsi="仿宋" w:eastAsia="仿宋" w:cs="仿宋"/>
          <w:color w:val="auto"/>
          <w:sz w:val="24"/>
          <w:szCs w:val="24"/>
        </w:rPr>
      </w:pPr>
      <w:r>
        <w:rPr>
          <w:rFonts w:hint="eastAsia" w:ascii="仿宋" w:hAnsi="仿宋" w:eastAsia="仿宋" w:cs="仿宋"/>
          <w:color w:val="auto"/>
          <w:sz w:val="24"/>
          <w:szCs w:val="24"/>
        </w:rPr>
        <w:t>（1）无正当理由拒绝</w:t>
      </w:r>
      <w:r>
        <w:rPr>
          <w:rFonts w:hint="eastAsia" w:ascii="仿宋" w:hAnsi="仿宋" w:eastAsia="仿宋" w:cs="仿宋"/>
          <w:color w:val="auto"/>
          <w:sz w:val="24"/>
          <w:szCs w:val="24"/>
          <w:lang w:eastAsia="zh-CN"/>
        </w:rPr>
        <w:t>接待党政机关会议的</w:t>
      </w:r>
      <w:r>
        <w:rPr>
          <w:rFonts w:hint="eastAsia" w:ascii="仿宋" w:hAnsi="仿宋" w:eastAsia="仿宋" w:cs="仿宋"/>
          <w:color w:val="auto"/>
          <w:sz w:val="24"/>
          <w:szCs w:val="24"/>
        </w:rPr>
        <w:t>；</w:t>
      </w:r>
    </w:p>
    <w:p w14:paraId="126F410A">
      <w:pPr>
        <w:spacing w:line="440" w:lineRule="exact"/>
        <w:ind w:firstLine="555"/>
        <w:rPr>
          <w:rFonts w:hint="eastAsia" w:ascii="仿宋" w:hAnsi="仿宋" w:eastAsia="仿宋" w:cs="仿宋"/>
          <w:color w:val="auto"/>
          <w:sz w:val="24"/>
          <w:szCs w:val="24"/>
        </w:rPr>
      </w:pPr>
      <w:r>
        <w:rPr>
          <w:rFonts w:hint="eastAsia" w:ascii="仿宋" w:hAnsi="仿宋" w:eastAsia="仿宋" w:cs="仿宋"/>
          <w:color w:val="auto"/>
          <w:sz w:val="24"/>
          <w:szCs w:val="24"/>
        </w:rPr>
        <w:t>（2）超过协议</w:t>
      </w:r>
      <w:r>
        <w:rPr>
          <w:rFonts w:hint="eastAsia" w:ascii="仿宋" w:hAnsi="仿宋" w:eastAsia="仿宋" w:cs="仿宋"/>
          <w:color w:val="auto"/>
          <w:sz w:val="24"/>
          <w:szCs w:val="24"/>
          <w:lang w:eastAsia="zh-CN"/>
        </w:rPr>
        <w:t>价格收费费用或采取减少服务项目等降低服务质量的</w:t>
      </w:r>
      <w:r>
        <w:rPr>
          <w:rFonts w:hint="eastAsia" w:ascii="仿宋" w:hAnsi="仿宋" w:eastAsia="仿宋" w:cs="仿宋"/>
          <w:color w:val="auto"/>
          <w:sz w:val="24"/>
          <w:szCs w:val="24"/>
        </w:rPr>
        <w:t>；</w:t>
      </w:r>
    </w:p>
    <w:p w14:paraId="0756D072">
      <w:pPr>
        <w:spacing w:line="440" w:lineRule="exact"/>
        <w:ind w:firstLine="555"/>
        <w:rPr>
          <w:rFonts w:hint="eastAsia" w:ascii="仿宋" w:hAnsi="仿宋" w:eastAsia="仿宋" w:cs="仿宋"/>
          <w:color w:val="auto"/>
          <w:sz w:val="24"/>
          <w:szCs w:val="24"/>
        </w:rPr>
      </w:pPr>
      <w:r>
        <w:rPr>
          <w:rFonts w:hint="eastAsia" w:ascii="仿宋" w:hAnsi="仿宋" w:eastAsia="仿宋" w:cs="仿宋"/>
          <w:color w:val="auto"/>
          <w:sz w:val="24"/>
          <w:szCs w:val="24"/>
        </w:rPr>
        <w:t>（3）提供虚假发票的；</w:t>
      </w:r>
    </w:p>
    <w:p w14:paraId="47E6C5CA">
      <w:pPr>
        <w:spacing w:line="440" w:lineRule="exact"/>
        <w:ind w:firstLine="555"/>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w:t>
      </w:r>
      <w:r>
        <w:rPr>
          <w:rFonts w:hint="eastAsia" w:ascii="仿宋" w:hAnsi="仿宋" w:eastAsia="仿宋" w:cs="仿宋"/>
          <w:color w:val="auto"/>
          <w:sz w:val="24"/>
          <w:szCs w:val="24"/>
          <w:lang w:eastAsia="zh-CN"/>
        </w:rPr>
        <w:t>未按规定提供发票、费用原始明细单据、电子结算单等凭证的；</w:t>
      </w:r>
    </w:p>
    <w:p w14:paraId="42844C6C">
      <w:pPr>
        <w:spacing w:line="440" w:lineRule="exact"/>
        <w:ind w:firstLine="555"/>
        <w:rPr>
          <w:rFonts w:hint="eastAsia" w:ascii="仿宋" w:hAnsi="仿宋" w:eastAsia="仿宋" w:cs="仿宋"/>
          <w:color w:val="auto"/>
          <w:sz w:val="24"/>
          <w:szCs w:val="24"/>
          <w:lang w:eastAsia="zh-CN"/>
        </w:rPr>
      </w:pPr>
      <w:r>
        <w:rPr>
          <w:rFonts w:hint="eastAsia" w:ascii="仿宋" w:hAnsi="仿宋" w:eastAsia="仿宋" w:cs="仿宋"/>
          <w:color w:val="auto"/>
          <w:sz w:val="24"/>
          <w:szCs w:val="24"/>
        </w:rPr>
        <w:t>（5）</w:t>
      </w:r>
      <w:r>
        <w:rPr>
          <w:rFonts w:hint="eastAsia" w:ascii="仿宋" w:hAnsi="仿宋" w:eastAsia="仿宋" w:cs="仿宋"/>
          <w:color w:val="auto"/>
          <w:sz w:val="24"/>
          <w:szCs w:val="24"/>
          <w:lang w:eastAsia="zh-CN"/>
        </w:rPr>
        <w:t>不配合、甚至干扰阻挠财政部门正常核查工作的；</w:t>
      </w:r>
    </w:p>
    <w:p w14:paraId="141E4257">
      <w:pPr>
        <w:spacing w:line="440" w:lineRule="exact"/>
        <w:ind w:firstLine="555"/>
        <w:rPr>
          <w:rFonts w:hint="eastAsia" w:ascii="仿宋" w:hAnsi="仿宋" w:eastAsia="仿宋" w:cs="仿宋"/>
          <w:color w:val="auto"/>
          <w:sz w:val="24"/>
          <w:szCs w:val="24"/>
        </w:rPr>
      </w:pPr>
      <w:r>
        <w:rPr>
          <w:rFonts w:hint="eastAsia" w:ascii="仿宋" w:hAnsi="仿宋" w:eastAsia="仿宋" w:cs="仿宋"/>
          <w:color w:val="auto"/>
          <w:sz w:val="24"/>
          <w:szCs w:val="24"/>
        </w:rPr>
        <w:t>（6）协议规定的其他事项。</w:t>
      </w:r>
    </w:p>
    <w:p w14:paraId="1FE1CCCE">
      <w:pPr>
        <w:spacing w:line="44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会议定点场所在协议期内未经批准单方面终止履行协议或违法经营行为受到行政处罚的，根据《政府采购法》等规定取消其会议定点场所资格，并自动丧失下一轮会议定点场所政府采购资格。</w:t>
      </w:r>
    </w:p>
    <w:p w14:paraId="431B043F">
      <w:pPr>
        <w:pStyle w:val="6"/>
        <w:numPr>
          <w:ilvl w:val="0"/>
          <w:numId w:val="2"/>
        </w:numPr>
        <w:spacing w:before="0" w:after="0" w:line="360" w:lineRule="auto"/>
        <w:ind w:left="-420" w:leftChars="0" w:firstLine="420" w:firstLineChars="0"/>
        <w:jc w:val="left"/>
        <w:rPr>
          <w:rFonts w:hint="eastAsia" w:ascii="仿宋" w:hAnsi="仿宋" w:eastAsia="仿宋"/>
          <w:sz w:val="24"/>
          <w:szCs w:val="24"/>
        </w:rPr>
      </w:pPr>
      <w:r>
        <w:rPr>
          <w:rFonts w:hint="eastAsia" w:ascii="仿宋" w:hAnsi="仿宋" w:eastAsia="仿宋"/>
          <w:bCs w:val="0"/>
          <w:sz w:val="24"/>
          <w:szCs w:val="24"/>
          <w:lang w:val="en-US" w:eastAsia="zh-CN"/>
        </w:rPr>
        <w:t>商务</w:t>
      </w:r>
      <w:r>
        <w:rPr>
          <w:rFonts w:hint="eastAsia" w:ascii="仿宋" w:hAnsi="仿宋" w:eastAsia="仿宋"/>
          <w:bCs w:val="0"/>
          <w:sz w:val="24"/>
          <w:szCs w:val="24"/>
          <w:lang w:val="zh-CN"/>
        </w:rPr>
        <w:t>要求</w:t>
      </w:r>
      <w:bookmarkEnd w:id="15"/>
      <w:bookmarkStart w:id="16" w:name="_Toc10974"/>
      <w:r>
        <w:rPr>
          <w:rFonts w:hint="default" w:ascii="仿宋" w:hAnsi="仿宋" w:eastAsia="仿宋"/>
          <w:sz w:val="24"/>
          <w:szCs w:val="24"/>
          <w:lang w:val="en-US" w:eastAsia="zh-CN"/>
        </w:rPr>
        <w:t xml:space="preserve"> </w:t>
      </w:r>
    </w:p>
    <w:p w14:paraId="6CE891C3">
      <w:pPr>
        <w:spacing w:line="360" w:lineRule="auto"/>
        <w:ind w:firstLine="480" w:firstLineChars="200"/>
        <w:rPr>
          <w:rFonts w:hint="default" w:ascii="仿宋" w:hAnsi="仿宋" w:eastAsia="仿宋"/>
          <w:sz w:val="24"/>
          <w:szCs w:val="24"/>
          <w:lang w:val="en-US" w:eastAsia="zh-CN"/>
        </w:rPr>
      </w:pPr>
      <w:r>
        <w:rPr>
          <w:rFonts w:hint="default" w:ascii="仿宋" w:hAnsi="仿宋" w:eastAsia="仿宋"/>
          <w:sz w:val="24"/>
          <w:szCs w:val="24"/>
          <w:lang w:val="en-US" w:eastAsia="zh-CN"/>
        </w:rPr>
        <w:t xml:space="preserve">4.报价要求 </w:t>
      </w:r>
    </w:p>
    <w:p w14:paraId="05DC4141">
      <w:pPr>
        <w:spacing w:line="520" w:lineRule="exact"/>
        <w:ind w:firstLine="720" w:firstLineChars="300"/>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报价内容包括住宿房间价格、会议室租金和伙食费。住宿房间价格按标准间、单人间和普通套房三种类型确定。会议室租金按照大会议室、中会议室、小会议室三种类型确定。伙食费标准按照每人每天确定或明细到单餐(早餐免费）。具体为：</w:t>
      </w:r>
    </w:p>
    <w:tbl>
      <w:tblPr>
        <w:tblStyle w:val="8"/>
        <w:tblW w:w="0" w:type="auto"/>
        <w:jc w:val="center"/>
        <w:tblLayout w:type="fixed"/>
        <w:tblCellMar>
          <w:top w:w="15" w:type="dxa"/>
          <w:left w:w="15" w:type="dxa"/>
          <w:bottom w:w="15" w:type="dxa"/>
          <w:right w:w="15" w:type="dxa"/>
        </w:tblCellMar>
      </w:tblPr>
      <w:tblGrid>
        <w:gridCol w:w="1155"/>
        <w:gridCol w:w="660"/>
        <w:gridCol w:w="765"/>
        <w:gridCol w:w="675"/>
        <w:gridCol w:w="645"/>
        <w:gridCol w:w="510"/>
        <w:gridCol w:w="780"/>
        <w:gridCol w:w="750"/>
        <w:gridCol w:w="780"/>
        <w:gridCol w:w="750"/>
        <w:gridCol w:w="780"/>
        <w:gridCol w:w="690"/>
        <w:gridCol w:w="660"/>
        <w:gridCol w:w="774"/>
      </w:tblGrid>
      <w:tr w14:paraId="04A61C53">
        <w:tblPrEx>
          <w:tblCellMar>
            <w:top w:w="15" w:type="dxa"/>
            <w:left w:w="15" w:type="dxa"/>
            <w:bottom w:w="15" w:type="dxa"/>
            <w:right w:w="15" w:type="dxa"/>
          </w:tblCellMar>
        </w:tblPrEx>
        <w:trPr>
          <w:trHeight w:val="536" w:hRule="atLeast"/>
          <w:jc w:val="center"/>
        </w:trPr>
        <w:tc>
          <w:tcPr>
            <w:tcW w:w="3900" w:type="dxa"/>
            <w:gridSpan w:val="5"/>
            <w:tcBorders>
              <w:top w:val="single" w:color="000000" w:sz="4" w:space="0"/>
              <w:left w:val="single" w:color="000000" w:sz="4" w:space="0"/>
              <w:bottom w:val="single" w:color="000000" w:sz="4" w:space="0"/>
              <w:right w:val="single" w:color="000000" w:sz="4" w:space="0"/>
            </w:tcBorders>
            <w:noWrap w:val="0"/>
            <w:vAlign w:val="center"/>
          </w:tcPr>
          <w:p w14:paraId="6C8B12A6">
            <w:pPr>
              <w:widowControl/>
              <w:spacing w:line="520" w:lineRule="exact"/>
              <w:ind w:left="0" w:leftChars="0" w:firstLine="0" w:firstLineChars="0"/>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住宿费（</w:t>
            </w:r>
            <w:r>
              <w:rPr>
                <w:rFonts w:hint="eastAsia" w:ascii="仿宋" w:hAnsi="仿宋" w:eastAsia="仿宋" w:cs="仿宋"/>
                <w:color w:val="auto"/>
                <w:kern w:val="0"/>
                <w:sz w:val="18"/>
                <w:szCs w:val="18"/>
                <w:lang w:val="en-US" w:eastAsia="zh-CN" w:bidi="ar"/>
              </w:rPr>
              <w:t xml:space="preserve">    </w:t>
            </w:r>
            <w:r>
              <w:rPr>
                <w:rFonts w:hint="eastAsia" w:ascii="仿宋" w:hAnsi="仿宋" w:eastAsia="仿宋" w:cs="仿宋"/>
                <w:color w:val="auto"/>
                <w:kern w:val="0"/>
                <w:sz w:val="18"/>
                <w:szCs w:val="18"/>
                <w:lang w:bidi="ar"/>
              </w:rPr>
              <w:t>元/人天）</w:t>
            </w:r>
          </w:p>
        </w:tc>
        <w:tc>
          <w:tcPr>
            <w:tcW w:w="3570" w:type="dxa"/>
            <w:gridSpan w:val="5"/>
            <w:tcBorders>
              <w:top w:val="single" w:color="000000" w:sz="4" w:space="0"/>
              <w:left w:val="single" w:color="000000" w:sz="4" w:space="0"/>
              <w:bottom w:val="single" w:color="000000" w:sz="4" w:space="0"/>
              <w:right w:val="single" w:color="000000" w:sz="4" w:space="0"/>
            </w:tcBorders>
            <w:noWrap w:val="0"/>
            <w:vAlign w:val="center"/>
          </w:tcPr>
          <w:p w14:paraId="2945BCCB">
            <w:pPr>
              <w:widowControl/>
              <w:spacing w:line="520" w:lineRule="exact"/>
              <w:ind w:left="0" w:leftChars="0" w:firstLine="0" w:firstLineChars="0"/>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伙食费（</w:t>
            </w:r>
            <w:r>
              <w:rPr>
                <w:rFonts w:hint="eastAsia" w:ascii="仿宋" w:hAnsi="仿宋" w:eastAsia="仿宋" w:cs="仿宋"/>
                <w:color w:val="auto"/>
                <w:kern w:val="0"/>
                <w:sz w:val="18"/>
                <w:szCs w:val="18"/>
                <w:lang w:val="en-US" w:eastAsia="zh-CN" w:bidi="ar"/>
              </w:rPr>
              <w:t xml:space="preserve">   </w:t>
            </w:r>
            <w:r>
              <w:rPr>
                <w:rFonts w:hint="eastAsia" w:ascii="仿宋" w:hAnsi="仿宋" w:eastAsia="仿宋" w:cs="仿宋"/>
                <w:color w:val="auto"/>
                <w:kern w:val="0"/>
                <w:sz w:val="18"/>
                <w:szCs w:val="18"/>
                <w:lang w:bidi="ar"/>
              </w:rPr>
              <w:t xml:space="preserve"> 元/人天）</w:t>
            </w:r>
          </w:p>
        </w:tc>
        <w:tc>
          <w:tcPr>
            <w:tcW w:w="2904" w:type="dxa"/>
            <w:gridSpan w:val="4"/>
            <w:tcBorders>
              <w:top w:val="single" w:color="000000" w:sz="4" w:space="0"/>
              <w:left w:val="single" w:color="000000" w:sz="4" w:space="0"/>
              <w:bottom w:val="single" w:color="000000" w:sz="4" w:space="0"/>
              <w:right w:val="single" w:color="000000" w:sz="4" w:space="0"/>
            </w:tcBorders>
            <w:noWrap w:val="0"/>
            <w:vAlign w:val="center"/>
          </w:tcPr>
          <w:p w14:paraId="2A209959">
            <w:pPr>
              <w:widowControl/>
              <w:spacing w:line="520" w:lineRule="exact"/>
              <w:ind w:left="0" w:leftChars="0" w:firstLine="0" w:firstLineChars="0"/>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会议租金及其他（</w:t>
            </w:r>
            <w:r>
              <w:rPr>
                <w:rFonts w:hint="eastAsia" w:ascii="仿宋" w:hAnsi="仿宋" w:eastAsia="仿宋" w:cs="仿宋"/>
                <w:color w:val="auto"/>
                <w:kern w:val="0"/>
                <w:sz w:val="18"/>
                <w:szCs w:val="18"/>
                <w:lang w:val="en-US" w:eastAsia="zh-CN" w:bidi="ar"/>
              </w:rPr>
              <w:t xml:space="preserve">    </w:t>
            </w:r>
            <w:r>
              <w:rPr>
                <w:rFonts w:hint="eastAsia" w:ascii="仿宋" w:hAnsi="仿宋" w:eastAsia="仿宋" w:cs="仿宋"/>
                <w:color w:val="auto"/>
                <w:kern w:val="0"/>
                <w:sz w:val="18"/>
                <w:szCs w:val="18"/>
                <w:lang w:bidi="ar"/>
              </w:rPr>
              <w:t>元/人</w:t>
            </w:r>
            <w:r>
              <w:rPr>
                <w:rFonts w:hint="eastAsia" w:ascii="仿宋" w:hAnsi="仿宋" w:eastAsia="仿宋" w:cs="仿宋"/>
                <w:color w:val="auto"/>
                <w:kern w:val="0"/>
                <w:sz w:val="18"/>
                <w:szCs w:val="18"/>
                <w:lang w:eastAsia="zh-CN" w:bidi="ar"/>
              </w:rPr>
              <w:t>半</w:t>
            </w:r>
            <w:r>
              <w:rPr>
                <w:rFonts w:hint="eastAsia" w:ascii="仿宋" w:hAnsi="仿宋" w:eastAsia="仿宋" w:cs="仿宋"/>
                <w:color w:val="auto"/>
                <w:kern w:val="0"/>
                <w:sz w:val="18"/>
                <w:szCs w:val="18"/>
                <w:lang w:bidi="ar"/>
              </w:rPr>
              <w:t>天）</w:t>
            </w:r>
          </w:p>
        </w:tc>
      </w:tr>
      <w:tr w14:paraId="6198A095">
        <w:tblPrEx>
          <w:tblCellMar>
            <w:top w:w="15" w:type="dxa"/>
            <w:left w:w="15" w:type="dxa"/>
            <w:bottom w:w="15" w:type="dxa"/>
            <w:right w:w="15" w:type="dxa"/>
          </w:tblCellMar>
        </w:tblPrEx>
        <w:trPr>
          <w:trHeight w:val="540" w:hRule="atLeast"/>
          <w:jc w:val="center"/>
        </w:trPr>
        <w:tc>
          <w:tcPr>
            <w:tcW w:w="1155" w:type="dxa"/>
            <w:vMerge w:val="restart"/>
            <w:tcBorders>
              <w:top w:val="single" w:color="000000" w:sz="4" w:space="0"/>
              <w:left w:val="single" w:color="000000" w:sz="4" w:space="0"/>
              <w:bottom w:val="single" w:color="000000" w:sz="4" w:space="0"/>
              <w:right w:val="single" w:color="000000" w:sz="4" w:space="0"/>
            </w:tcBorders>
            <w:noWrap w:val="0"/>
            <w:vAlign w:val="center"/>
          </w:tcPr>
          <w:p w14:paraId="41F732D1">
            <w:pPr>
              <w:widowControl/>
              <w:spacing w:line="520" w:lineRule="exact"/>
              <w:ind w:left="0" w:leftChars="0" w:firstLine="0" w:firstLineChars="0"/>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房型</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14:paraId="288847DF">
            <w:pPr>
              <w:widowControl/>
              <w:spacing w:line="520" w:lineRule="exact"/>
              <w:ind w:left="0" w:leftChars="0" w:firstLine="0" w:firstLineChars="0"/>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总间数</w:t>
            </w:r>
          </w:p>
        </w:tc>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14:paraId="638BEB14">
            <w:pPr>
              <w:widowControl/>
              <w:spacing w:line="520" w:lineRule="exact"/>
              <w:ind w:left="0" w:leftChars="0" w:firstLine="0" w:firstLineChars="0"/>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协议间数</w:t>
            </w: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14:paraId="58C46241">
            <w:pPr>
              <w:widowControl/>
              <w:spacing w:line="520" w:lineRule="exact"/>
              <w:ind w:left="0" w:leftChars="0" w:firstLine="0" w:firstLineChars="0"/>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门市价</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755E6379">
            <w:pPr>
              <w:widowControl/>
              <w:spacing w:line="520" w:lineRule="exact"/>
              <w:ind w:left="0" w:leftChars="0" w:firstLine="0" w:firstLineChars="0"/>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协议价</w:t>
            </w:r>
          </w:p>
        </w:tc>
        <w:tc>
          <w:tcPr>
            <w:tcW w:w="3570" w:type="dxa"/>
            <w:gridSpan w:val="5"/>
            <w:tcBorders>
              <w:top w:val="single" w:color="000000" w:sz="4" w:space="0"/>
              <w:left w:val="single" w:color="000000" w:sz="4" w:space="0"/>
              <w:bottom w:val="single" w:color="000000" w:sz="4" w:space="0"/>
              <w:right w:val="single" w:color="000000" w:sz="4" w:space="0"/>
            </w:tcBorders>
            <w:noWrap w:val="0"/>
            <w:vAlign w:val="center"/>
          </w:tcPr>
          <w:p w14:paraId="023197CB">
            <w:pPr>
              <w:widowControl/>
              <w:spacing w:line="520" w:lineRule="exact"/>
              <w:jc w:val="center"/>
              <w:textAlignment w:val="center"/>
              <w:rPr>
                <w:rFonts w:hint="eastAsia" w:ascii="仿宋" w:hAnsi="仿宋" w:eastAsia="仿宋" w:cs="仿宋"/>
                <w:color w:val="auto"/>
                <w:sz w:val="18"/>
                <w:szCs w:val="18"/>
                <w:lang w:eastAsia="zh-CN"/>
              </w:rPr>
            </w:pPr>
            <w:r>
              <w:rPr>
                <w:rFonts w:hint="eastAsia" w:ascii="仿宋" w:hAnsi="仿宋" w:eastAsia="仿宋" w:cs="仿宋"/>
                <w:color w:val="auto"/>
                <w:kern w:val="0"/>
                <w:sz w:val="18"/>
                <w:szCs w:val="18"/>
                <w:lang w:bidi="ar"/>
              </w:rPr>
              <w:t>餐厅容纳人数</w:t>
            </w:r>
            <w:r>
              <w:rPr>
                <w:rFonts w:hint="eastAsia" w:ascii="仿宋" w:hAnsi="仿宋" w:eastAsia="仿宋" w:cs="仿宋"/>
                <w:color w:val="auto"/>
                <w:kern w:val="0"/>
                <w:sz w:val="18"/>
                <w:szCs w:val="18"/>
                <w:lang w:eastAsia="zh-CN" w:bidi="ar"/>
              </w:rPr>
              <w:t>（</w:t>
            </w:r>
            <w:r>
              <w:rPr>
                <w:rFonts w:hint="eastAsia" w:ascii="仿宋" w:hAnsi="仿宋" w:eastAsia="仿宋" w:cs="仿宋"/>
                <w:color w:val="auto"/>
                <w:kern w:val="0"/>
                <w:sz w:val="18"/>
                <w:szCs w:val="18"/>
                <w:lang w:val="en-US" w:eastAsia="zh-CN" w:bidi="ar"/>
              </w:rPr>
              <w:t xml:space="preserve">      人</w:t>
            </w:r>
            <w:r>
              <w:rPr>
                <w:rFonts w:hint="eastAsia" w:ascii="仿宋" w:hAnsi="仿宋" w:eastAsia="仿宋" w:cs="仿宋"/>
                <w:color w:val="auto"/>
                <w:kern w:val="0"/>
                <w:sz w:val="18"/>
                <w:szCs w:val="18"/>
                <w:lang w:eastAsia="zh-CN" w:bidi="ar"/>
              </w:rPr>
              <w:t>）</w:t>
            </w:r>
          </w:p>
        </w:tc>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14:paraId="2493121B">
            <w:pPr>
              <w:widowControl/>
              <w:spacing w:line="520" w:lineRule="exact"/>
              <w:ind w:left="0" w:leftChars="0" w:firstLine="0" w:firstLineChars="0"/>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类型</w:t>
            </w: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0942EDBB">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 w:hAnsi="仿宋" w:eastAsia="仿宋" w:cs="仿宋"/>
                <w:color w:val="auto"/>
                <w:sz w:val="18"/>
                <w:szCs w:val="18"/>
                <w:lang w:eastAsia="zh-CN"/>
              </w:rPr>
            </w:pPr>
            <w:r>
              <w:rPr>
                <w:rFonts w:hint="eastAsia" w:ascii="仿宋" w:hAnsi="仿宋" w:eastAsia="仿宋" w:cs="仿宋"/>
                <w:color w:val="auto"/>
                <w:kern w:val="0"/>
                <w:sz w:val="18"/>
                <w:szCs w:val="18"/>
                <w:lang w:bidi="ar"/>
              </w:rPr>
              <w:t>标容</w:t>
            </w:r>
            <w:r>
              <w:rPr>
                <w:rFonts w:hint="eastAsia" w:ascii="仿宋" w:hAnsi="仿宋" w:eastAsia="仿宋" w:cs="仿宋"/>
                <w:color w:val="auto"/>
                <w:kern w:val="0"/>
                <w:sz w:val="18"/>
                <w:szCs w:val="18"/>
                <w:lang w:eastAsia="zh-CN" w:bidi="ar"/>
              </w:rPr>
              <w:t>（容纳人数）</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14:paraId="19B7781B">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门市价</w:t>
            </w:r>
          </w:p>
        </w:tc>
        <w:tc>
          <w:tcPr>
            <w:tcW w:w="774" w:type="dxa"/>
            <w:vMerge w:val="restart"/>
            <w:tcBorders>
              <w:top w:val="single" w:color="000000" w:sz="4" w:space="0"/>
              <w:left w:val="single" w:color="000000" w:sz="4" w:space="0"/>
              <w:bottom w:val="single" w:color="000000" w:sz="4" w:space="0"/>
              <w:right w:val="single" w:color="000000" w:sz="4" w:space="0"/>
            </w:tcBorders>
            <w:noWrap w:val="0"/>
            <w:vAlign w:val="center"/>
          </w:tcPr>
          <w:p w14:paraId="201767AE">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协议价</w:t>
            </w:r>
          </w:p>
        </w:tc>
      </w:tr>
      <w:tr w14:paraId="7345CC3A">
        <w:tblPrEx>
          <w:tblCellMar>
            <w:top w:w="15" w:type="dxa"/>
            <w:left w:w="15" w:type="dxa"/>
            <w:bottom w:w="15" w:type="dxa"/>
            <w:right w:w="15" w:type="dxa"/>
          </w:tblCellMar>
        </w:tblPrEx>
        <w:trPr>
          <w:trHeight w:val="835" w:hRule="atLeast"/>
          <w:jc w:val="center"/>
        </w:trPr>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A0BCD5">
            <w:pPr>
              <w:widowControl/>
              <w:spacing w:line="520" w:lineRule="exact"/>
              <w:jc w:val="center"/>
              <w:rPr>
                <w:rFonts w:hint="eastAsia" w:ascii="仿宋" w:hAnsi="仿宋" w:eastAsia="仿宋" w:cs="仿宋"/>
                <w:color w:val="auto"/>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A2CC10">
            <w:pPr>
              <w:widowControl/>
              <w:spacing w:line="520" w:lineRule="exact"/>
              <w:jc w:val="center"/>
              <w:rPr>
                <w:rFonts w:hint="eastAsia" w:ascii="仿宋" w:hAnsi="仿宋" w:eastAsia="仿宋" w:cs="仿宋"/>
                <w:color w:val="auto"/>
                <w:sz w:val="18"/>
                <w:szCs w:val="18"/>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4EA3D5">
            <w:pPr>
              <w:widowControl/>
              <w:spacing w:line="520" w:lineRule="exact"/>
              <w:jc w:val="center"/>
              <w:rPr>
                <w:rFonts w:hint="eastAsia" w:ascii="仿宋" w:hAnsi="仿宋" w:eastAsia="仿宋" w:cs="仿宋"/>
                <w:color w:val="auto"/>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849433">
            <w:pPr>
              <w:widowControl/>
              <w:spacing w:line="520" w:lineRule="exact"/>
              <w:jc w:val="center"/>
              <w:rPr>
                <w:rFonts w:hint="eastAsia" w:ascii="仿宋" w:hAnsi="仿宋" w:eastAsia="仿宋" w:cs="仿宋"/>
                <w:color w:val="auto"/>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DCBF7D">
            <w:pPr>
              <w:widowControl/>
              <w:spacing w:line="520" w:lineRule="exact"/>
              <w:jc w:val="center"/>
              <w:rPr>
                <w:rFonts w:hint="eastAsia" w:ascii="仿宋" w:hAnsi="仿宋" w:eastAsia="仿宋" w:cs="仿宋"/>
                <w:color w:val="auto"/>
                <w:sz w:val="18"/>
                <w:szCs w:val="18"/>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6E1DA4F4">
            <w:pPr>
              <w:widowControl/>
              <w:spacing w:line="520" w:lineRule="exact"/>
              <w:ind w:left="0" w:leftChars="0" w:firstLine="0" w:firstLineChars="0"/>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单餐</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A4781CE">
            <w:pPr>
              <w:widowControl/>
              <w:spacing w:line="520" w:lineRule="exact"/>
              <w:ind w:left="0" w:leftChars="0" w:firstLine="0" w:firstLineChars="0"/>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一类会议</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A70778B">
            <w:pPr>
              <w:widowControl/>
              <w:spacing w:line="520" w:lineRule="exact"/>
              <w:ind w:left="0" w:leftChars="0" w:firstLine="0" w:firstLineChars="0"/>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二类会议</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23C9908">
            <w:pPr>
              <w:widowControl/>
              <w:spacing w:line="520" w:lineRule="exact"/>
              <w:ind w:left="0" w:leftChars="0" w:firstLine="0" w:firstLineChars="0"/>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三类会议</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B60E78C">
            <w:pPr>
              <w:widowControl/>
              <w:spacing w:line="520" w:lineRule="exact"/>
              <w:ind w:left="0" w:leftChars="0" w:firstLine="0" w:firstLineChars="0"/>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四类会议</w:t>
            </w: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7559FB">
            <w:pPr>
              <w:widowControl/>
              <w:spacing w:line="520" w:lineRule="exact"/>
              <w:jc w:val="center"/>
              <w:rPr>
                <w:rFonts w:hint="eastAsia" w:ascii="仿宋" w:hAnsi="仿宋" w:eastAsia="仿宋" w:cs="仿宋"/>
                <w:color w:val="auto"/>
                <w:sz w:val="18"/>
                <w:szCs w:val="18"/>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8E7732">
            <w:pPr>
              <w:widowControl/>
              <w:spacing w:line="520" w:lineRule="exact"/>
              <w:jc w:val="center"/>
              <w:rPr>
                <w:rFonts w:hint="eastAsia" w:ascii="仿宋" w:hAnsi="仿宋" w:eastAsia="仿宋" w:cs="仿宋"/>
                <w:color w:val="auto"/>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60ED4E">
            <w:pPr>
              <w:widowControl/>
              <w:spacing w:line="520" w:lineRule="exact"/>
              <w:jc w:val="center"/>
              <w:rPr>
                <w:rFonts w:hint="eastAsia" w:ascii="仿宋" w:hAnsi="仿宋" w:eastAsia="仿宋" w:cs="仿宋"/>
                <w:color w:val="auto"/>
                <w:sz w:val="18"/>
                <w:szCs w:val="18"/>
              </w:rPr>
            </w:pPr>
          </w:p>
        </w:tc>
        <w:tc>
          <w:tcPr>
            <w:tcW w:w="7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594C92">
            <w:pPr>
              <w:widowControl/>
              <w:spacing w:line="520" w:lineRule="exact"/>
              <w:jc w:val="center"/>
              <w:rPr>
                <w:rFonts w:hint="eastAsia" w:ascii="仿宋" w:hAnsi="仿宋" w:eastAsia="仿宋" w:cs="仿宋"/>
                <w:color w:val="auto"/>
                <w:sz w:val="18"/>
                <w:szCs w:val="18"/>
              </w:rPr>
            </w:pPr>
          </w:p>
        </w:tc>
      </w:tr>
      <w:tr w14:paraId="0F018071">
        <w:tblPrEx>
          <w:tblCellMar>
            <w:top w:w="15" w:type="dxa"/>
            <w:left w:w="15" w:type="dxa"/>
            <w:bottom w:w="15" w:type="dxa"/>
            <w:right w:w="15" w:type="dxa"/>
          </w:tblCellMar>
        </w:tblPrEx>
        <w:trPr>
          <w:trHeight w:val="672" w:hRule="atLeast"/>
          <w:jc w:val="center"/>
        </w:trPr>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62AAA80">
            <w:pPr>
              <w:widowControl/>
              <w:spacing w:line="520" w:lineRule="exact"/>
              <w:ind w:left="0" w:leftChars="0" w:firstLine="0" w:firstLineChars="0"/>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普通套间</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2AF11D4">
            <w:pPr>
              <w:widowControl/>
              <w:spacing w:line="520" w:lineRule="exact"/>
              <w:jc w:val="center"/>
              <w:rPr>
                <w:rFonts w:hint="eastAsia" w:ascii="仿宋" w:hAnsi="仿宋" w:eastAsia="仿宋" w:cs="仿宋"/>
                <w:color w:val="auto"/>
                <w:sz w:val="18"/>
                <w:szCs w:val="18"/>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465BB6F">
            <w:pPr>
              <w:widowControl/>
              <w:spacing w:line="520" w:lineRule="exact"/>
              <w:jc w:val="center"/>
              <w:rPr>
                <w:rFonts w:hint="eastAsia" w:ascii="仿宋" w:hAnsi="仿宋" w:eastAsia="仿宋" w:cs="仿宋"/>
                <w:color w:val="auto"/>
                <w:sz w:val="18"/>
                <w:szCs w:val="18"/>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1A900AD">
            <w:pPr>
              <w:widowControl/>
              <w:spacing w:line="520" w:lineRule="exact"/>
              <w:jc w:val="center"/>
              <w:rPr>
                <w:rFonts w:hint="eastAsia" w:ascii="仿宋" w:hAnsi="仿宋" w:eastAsia="仿宋" w:cs="仿宋"/>
                <w:color w:val="auto"/>
                <w:sz w:val="18"/>
                <w:szCs w:val="18"/>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02125D82">
            <w:pPr>
              <w:widowControl/>
              <w:spacing w:line="520" w:lineRule="exact"/>
              <w:jc w:val="center"/>
              <w:rPr>
                <w:rFonts w:hint="eastAsia" w:ascii="仿宋" w:hAnsi="仿宋" w:eastAsia="仿宋" w:cs="仿宋"/>
                <w:color w:val="auto"/>
                <w:sz w:val="18"/>
                <w:szCs w:val="18"/>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16348CCA">
            <w:pPr>
              <w:widowControl/>
              <w:spacing w:line="520" w:lineRule="exact"/>
              <w:ind w:left="0" w:leftChars="0" w:firstLine="0" w:firstLineChars="0"/>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早餐</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F481588">
            <w:pPr>
              <w:widowControl/>
              <w:spacing w:line="520" w:lineRule="exact"/>
              <w:jc w:val="center"/>
              <w:rPr>
                <w:rFonts w:hint="eastAsia" w:ascii="仿宋" w:hAnsi="仿宋" w:eastAsia="仿宋" w:cs="仿宋"/>
                <w:color w:val="auto"/>
                <w:sz w:val="18"/>
                <w:szCs w:val="18"/>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EE1AD62">
            <w:pPr>
              <w:widowControl/>
              <w:spacing w:line="520" w:lineRule="exact"/>
              <w:jc w:val="center"/>
              <w:rPr>
                <w:rFonts w:hint="eastAsia" w:ascii="仿宋" w:hAnsi="仿宋" w:eastAsia="仿宋" w:cs="仿宋"/>
                <w:color w:val="auto"/>
                <w:sz w:val="18"/>
                <w:szCs w:val="18"/>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10C072E">
            <w:pPr>
              <w:widowControl/>
              <w:spacing w:line="520" w:lineRule="exact"/>
              <w:jc w:val="center"/>
              <w:rPr>
                <w:rFonts w:hint="eastAsia" w:ascii="仿宋" w:hAnsi="仿宋" w:eastAsia="仿宋" w:cs="仿宋"/>
                <w:color w:val="auto"/>
                <w:sz w:val="18"/>
                <w:szCs w:val="18"/>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EB0FE66">
            <w:pPr>
              <w:widowControl/>
              <w:spacing w:line="520" w:lineRule="exact"/>
              <w:jc w:val="center"/>
              <w:rPr>
                <w:rFonts w:hint="eastAsia" w:ascii="仿宋" w:hAnsi="仿宋" w:eastAsia="仿宋" w:cs="仿宋"/>
                <w:color w:val="auto"/>
                <w:sz w:val="18"/>
                <w:szCs w:val="18"/>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5B818C6">
            <w:pPr>
              <w:widowControl/>
              <w:spacing w:line="520" w:lineRule="exact"/>
              <w:ind w:left="0" w:leftChars="0" w:firstLine="0" w:firstLineChars="0"/>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大会议室</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5E15A9A">
            <w:pPr>
              <w:widowControl/>
              <w:spacing w:line="520" w:lineRule="exact"/>
              <w:jc w:val="center"/>
              <w:rPr>
                <w:rFonts w:hint="eastAsia" w:ascii="仿宋" w:hAnsi="仿宋" w:eastAsia="仿宋" w:cs="仿宋"/>
                <w:color w:val="auto"/>
                <w:sz w:val="18"/>
                <w:szCs w:val="18"/>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03D3E2E">
            <w:pPr>
              <w:widowControl/>
              <w:spacing w:line="520" w:lineRule="exact"/>
              <w:jc w:val="center"/>
              <w:rPr>
                <w:rFonts w:hint="eastAsia" w:ascii="仿宋" w:hAnsi="仿宋" w:eastAsia="仿宋" w:cs="仿宋"/>
                <w:color w:val="auto"/>
                <w:sz w:val="18"/>
                <w:szCs w:val="18"/>
              </w:rPr>
            </w:pP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01721B44">
            <w:pPr>
              <w:widowControl/>
              <w:spacing w:line="520" w:lineRule="exact"/>
              <w:jc w:val="center"/>
              <w:rPr>
                <w:rFonts w:hint="eastAsia" w:ascii="仿宋" w:hAnsi="仿宋" w:eastAsia="仿宋" w:cs="仿宋"/>
                <w:color w:val="auto"/>
                <w:sz w:val="18"/>
                <w:szCs w:val="18"/>
              </w:rPr>
            </w:pPr>
          </w:p>
        </w:tc>
      </w:tr>
      <w:tr w14:paraId="645EB488">
        <w:tblPrEx>
          <w:tblCellMar>
            <w:top w:w="15" w:type="dxa"/>
            <w:left w:w="15" w:type="dxa"/>
            <w:bottom w:w="15" w:type="dxa"/>
            <w:right w:w="15" w:type="dxa"/>
          </w:tblCellMar>
        </w:tblPrEx>
        <w:trPr>
          <w:trHeight w:val="669" w:hRule="atLeast"/>
          <w:jc w:val="center"/>
        </w:trPr>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8C3326C">
            <w:pPr>
              <w:widowControl/>
              <w:spacing w:line="520" w:lineRule="exact"/>
              <w:ind w:left="0" w:leftChars="0" w:firstLine="0" w:firstLineChars="0"/>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单人间</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5EABE6A0">
            <w:pPr>
              <w:widowControl/>
              <w:spacing w:line="520" w:lineRule="exact"/>
              <w:jc w:val="center"/>
              <w:rPr>
                <w:rFonts w:hint="eastAsia" w:ascii="仿宋" w:hAnsi="仿宋" w:eastAsia="仿宋" w:cs="仿宋"/>
                <w:color w:val="auto"/>
                <w:sz w:val="18"/>
                <w:szCs w:val="18"/>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7DC5C9E">
            <w:pPr>
              <w:widowControl/>
              <w:spacing w:line="520" w:lineRule="exact"/>
              <w:jc w:val="center"/>
              <w:rPr>
                <w:rFonts w:hint="eastAsia" w:ascii="仿宋" w:hAnsi="仿宋" w:eastAsia="仿宋" w:cs="仿宋"/>
                <w:color w:val="auto"/>
                <w:sz w:val="18"/>
                <w:szCs w:val="18"/>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489243E">
            <w:pPr>
              <w:widowControl/>
              <w:spacing w:line="520" w:lineRule="exact"/>
              <w:jc w:val="center"/>
              <w:rPr>
                <w:rFonts w:hint="eastAsia" w:ascii="仿宋" w:hAnsi="仿宋" w:eastAsia="仿宋" w:cs="仿宋"/>
                <w:color w:val="auto"/>
                <w:sz w:val="18"/>
                <w:szCs w:val="18"/>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2F5D526C">
            <w:pPr>
              <w:widowControl/>
              <w:spacing w:line="520" w:lineRule="exact"/>
              <w:jc w:val="center"/>
              <w:rPr>
                <w:rFonts w:hint="eastAsia" w:ascii="仿宋" w:hAnsi="仿宋" w:eastAsia="仿宋" w:cs="仿宋"/>
                <w:color w:val="auto"/>
                <w:sz w:val="18"/>
                <w:szCs w:val="18"/>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284F16CD">
            <w:pPr>
              <w:widowControl/>
              <w:spacing w:line="520" w:lineRule="exact"/>
              <w:ind w:left="0" w:leftChars="0" w:firstLine="0" w:firstLineChars="0"/>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中餐</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00A81D8">
            <w:pPr>
              <w:widowControl/>
              <w:spacing w:line="520" w:lineRule="exact"/>
              <w:jc w:val="center"/>
              <w:rPr>
                <w:rFonts w:hint="eastAsia" w:ascii="仿宋" w:hAnsi="仿宋" w:eastAsia="仿宋" w:cs="仿宋"/>
                <w:color w:val="auto"/>
                <w:sz w:val="18"/>
                <w:szCs w:val="18"/>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02924E6">
            <w:pPr>
              <w:widowControl/>
              <w:spacing w:line="520" w:lineRule="exact"/>
              <w:jc w:val="center"/>
              <w:rPr>
                <w:rFonts w:hint="eastAsia" w:ascii="仿宋" w:hAnsi="仿宋" w:eastAsia="仿宋" w:cs="仿宋"/>
                <w:color w:val="auto"/>
                <w:sz w:val="18"/>
                <w:szCs w:val="18"/>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6605FE7">
            <w:pPr>
              <w:widowControl/>
              <w:spacing w:line="520" w:lineRule="exact"/>
              <w:jc w:val="center"/>
              <w:rPr>
                <w:rFonts w:hint="eastAsia" w:ascii="仿宋" w:hAnsi="仿宋" w:eastAsia="仿宋" w:cs="仿宋"/>
                <w:color w:val="auto"/>
                <w:sz w:val="18"/>
                <w:szCs w:val="18"/>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5E96398">
            <w:pPr>
              <w:widowControl/>
              <w:spacing w:line="520" w:lineRule="exact"/>
              <w:jc w:val="center"/>
              <w:rPr>
                <w:rFonts w:hint="eastAsia" w:ascii="仿宋" w:hAnsi="仿宋" w:eastAsia="仿宋" w:cs="仿宋"/>
                <w:color w:val="auto"/>
                <w:sz w:val="18"/>
                <w:szCs w:val="18"/>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0F66C22">
            <w:pPr>
              <w:widowControl/>
              <w:spacing w:line="520" w:lineRule="exact"/>
              <w:ind w:left="0" w:leftChars="0" w:firstLine="0" w:firstLineChars="0"/>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中会议室</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2578440">
            <w:pPr>
              <w:widowControl/>
              <w:spacing w:line="520" w:lineRule="exact"/>
              <w:jc w:val="center"/>
              <w:rPr>
                <w:rFonts w:hint="eastAsia" w:ascii="仿宋" w:hAnsi="仿宋" w:eastAsia="仿宋" w:cs="仿宋"/>
                <w:color w:val="auto"/>
                <w:sz w:val="18"/>
                <w:szCs w:val="18"/>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5AA15A9A">
            <w:pPr>
              <w:widowControl/>
              <w:spacing w:line="520" w:lineRule="exact"/>
              <w:jc w:val="center"/>
              <w:rPr>
                <w:rFonts w:hint="eastAsia" w:ascii="仿宋" w:hAnsi="仿宋" w:eastAsia="仿宋" w:cs="仿宋"/>
                <w:color w:val="auto"/>
                <w:sz w:val="18"/>
                <w:szCs w:val="18"/>
              </w:rPr>
            </w:pP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215C5479">
            <w:pPr>
              <w:widowControl/>
              <w:spacing w:line="520" w:lineRule="exact"/>
              <w:jc w:val="center"/>
              <w:rPr>
                <w:rFonts w:hint="eastAsia" w:ascii="仿宋" w:hAnsi="仿宋" w:eastAsia="仿宋" w:cs="仿宋"/>
                <w:color w:val="auto"/>
                <w:sz w:val="18"/>
                <w:szCs w:val="18"/>
              </w:rPr>
            </w:pPr>
          </w:p>
        </w:tc>
      </w:tr>
      <w:tr w14:paraId="206EF690">
        <w:tblPrEx>
          <w:tblCellMar>
            <w:top w:w="15" w:type="dxa"/>
            <w:left w:w="15" w:type="dxa"/>
            <w:bottom w:w="15" w:type="dxa"/>
            <w:right w:w="15" w:type="dxa"/>
          </w:tblCellMar>
        </w:tblPrEx>
        <w:trPr>
          <w:trHeight w:val="715" w:hRule="atLeast"/>
          <w:jc w:val="center"/>
        </w:trPr>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79E7F89">
            <w:pPr>
              <w:widowControl/>
              <w:spacing w:line="520" w:lineRule="exact"/>
              <w:ind w:left="0" w:leftChars="0" w:firstLine="0" w:firstLineChars="0"/>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标准间</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F0CE534">
            <w:pPr>
              <w:widowControl/>
              <w:spacing w:line="520" w:lineRule="exact"/>
              <w:jc w:val="center"/>
              <w:rPr>
                <w:rFonts w:hint="eastAsia" w:ascii="仿宋" w:hAnsi="仿宋" w:eastAsia="仿宋" w:cs="仿宋"/>
                <w:color w:val="auto"/>
                <w:sz w:val="18"/>
                <w:szCs w:val="18"/>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BD664F3">
            <w:pPr>
              <w:widowControl/>
              <w:spacing w:line="520" w:lineRule="exact"/>
              <w:jc w:val="center"/>
              <w:rPr>
                <w:rFonts w:hint="eastAsia" w:ascii="仿宋" w:hAnsi="仿宋" w:eastAsia="仿宋" w:cs="仿宋"/>
                <w:color w:val="auto"/>
                <w:sz w:val="18"/>
                <w:szCs w:val="18"/>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FCED197">
            <w:pPr>
              <w:widowControl/>
              <w:spacing w:line="520" w:lineRule="exact"/>
              <w:jc w:val="center"/>
              <w:rPr>
                <w:rFonts w:hint="eastAsia" w:ascii="仿宋" w:hAnsi="仿宋" w:eastAsia="仿宋" w:cs="仿宋"/>
                <w:color w:val="auto"/>
                <w:sz w:val="18"/>
                <w:szCs w:val="18"/>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EF451A9">
            <w:pPr>
              <w:widowControl/>
              <w:spacing w:line="520" w:lineRule="exact"/>
              <w:jc w:val="center"/>
              <w:rPr>
                <w:rFonts w:hint="eastAsia" w:ascii="仿宋" w:hAnsi="仿宋" w:eastAsia="仿宋" w:cs="仿宋"/>
                <w:color w:val="auto"/>
                <w:sz w:val="18"/>
                <w:szCs w:val="18"/>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63BEB4C9">
            <w:pPr>
              <w:widowControl/>
              <w:spacing w:line="520" w:lineRule="exact"/>
              <w:ind w:left="0" w:leftChars="0" w:firstLine="0" w:firstLineChars="0"/>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晚餐</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9D3A212">
            <w:pPr>
              <w:widowControl/>
              <w:spacing w:line="520" w:lineRule="exact"/>
              <w:jc w:val="center"/>
              <w:rPr>
                <w:rFonts w:hint="eastAsia" w:ascii="仿宋" w:hAnsi="仿宋" w:eastAsia="仿宋" w:cs="仿宋"/>
                <w:color w:val="auto"/>
                <w:sz w:val="18"/>
                <w:szCs w:val="18"/>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ACD125B">
            <w:pPr>
              <w:widowControl/>
              <w:spacing w:line="520" w:lineRule="exact"/>
              <w:jc w:val="center"/>
              <w:rPr>
                <w:rFonts w:hint="eastAsia" w:ascii="仿宋" w:hAnsi="仿宋" w:eastAsia="仿宋" w:cs="仿宋"/>
                <w:color w:val="auto"/>
                <w:sz w:val="18"/>
                <w:szCs w:val="18"/>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3B1E733">
            <w:pPr>
              <w:widowControl/>
              <w:spacing w:line="520" w:lineRule="exact"/>
              <w:jc w:val="center"/>
              <w:rPr>
                <w:rFonts w:hint="eastAsia" w:ascii="仿宋" w:hAnsi="仿宋" w:eastAsia="仿宋" w:cs="仿宋"/>
                <w:color w:val="auto"/>
                <w:sz w:val="18"/>
                <w:szCs w:val="18"/>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7A6A6A6">
            <w:pPr>
              <w:widowControl/>
              <w:spacing w:line="520" w:lineRule="exact"/>
              <w:jc w:val="center"/>
              <w:rPr>
                <w:rFonts w:hint="eastAsia" w:ascii="仿宋" w:hAnsi="仿宋" w:eastAsia="仿宋" w:cs="仿宋"/>
                <w:color w:val="auto"/>
                <w:sz w:val="18"/>
                <w:szCs w:val="18"/>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91402E5">
            <w:pPr>
              <w:widowControl/>
              <w:spacing w:line="520" w:lineRule="exact"/>
              <w:ind w:left="0" w:leftChars="0" w:firstLine="0" w:firstLineChars="0"/>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会议室</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EEBBB1F">
            <w:pPr>
              <w:widowControl/>
              <w:spacing w:line="520" w:lineRule="exact"/>
              <w:jc w:val="center"/>
              <w:rPr>
                <w:rFonts w:hint="eastAsia" w:ascii="仿宋" w:hAnsi="仿宋" w:eastAsia="仿宋" w:cs="仿宋"/>
                <w:color w:val="auto"/>
                <w:sz w:val="18"/>
                <w:szCs w:val="18"/>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3BFAF201">
            <w:pPr>
              <w:widowControl/>
              <w:spacing w:line="520" w:lineRule="exact"/>
              <w:jc w:val="center"/>
              <w:rPr>
                <w:rFonts w:hint="eastAsia" w:ascii="仿宋" w:hAnsi="仿宋" w:eastAsia="仿宋" w:cs="仿宋"/>
                <w:color w:val="auto"/>
                <w:sz w:val="18"/>
                <w:szCs w:val="18"/>
              </w:rPr>
            </w:pP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79EF77FD">
            <w:pPr>
              <w:widowControl/>
              <w:spacing w:line="520" w:lineRule="exact"/>
              <w:jc w:val="center"/>
              <w:rPr>
                <w:rFonts w:hint="eastAsia" w:ascii="仿宋" w:hAnsi="仿宋" w:eastAsia="仿宋" w:cs="仿宋"/>
                <w:color w:val="auto"/>
                <w:sz w:val="18"/>
                <w:szCs w:val="18"/>
              </w:rPr>
            </w:pPr>
          </w:p>
        </w:tc>
      </w:tr>
    </w:tbl>
    <w:p w14:paraId="58335E34">
      <w:pPr>
        <w:spacing w:line="520" w:lineRule="exact"/>
        <w:rPr>
          <w:rFonts w:hint="eastAsia" w:ascii="仿宋" w:hAnsi="仿宋" w:eastAsia="仿宋" w:cs="仿宋"/>
          <w:bCs/>
          <w:color w:val="auto"/>
          <w:kern w:val="2"/>
          <w:sz w:val="24"/>
          <w:szCs w:val="24"/>
          <w:lang w:val="en-US" w:eastAsia="zh-CN" w:bidi="ar-SA"/>
        </w:rPr>
      </w:pPr>
      <w:r>
        <w:rPr>
          <w:rStyle w:val="12"/>
          <w:rFonts w:hint="eastAsia" w:ascii="仿宋" w:hAnsi="仿宋" w:eastAsia="仿宋" w:cs="仿宋"/>
          <w:sz w:val="24"/>
          <w:szCs w:val="24"/>
        </w:rPr>
        <w:t>★</w:t>
      </w:r>
      <w:r>
        <w:rPr>
          <w:rFonts w:hint="eastAsia" w:ascii="仿宋" w:hAnsi="仿宋" w:eastAsia="仿宋" w:cs="仿宋"/>
          <w:sz w:val="24"/>
          <w:szCs w:val="24"/>
        </w:rPr>
        <w:t xml:space="preserve"> </w:t>
      </w:r>
      <w:r>
        <w:rPr>
          <w:rFonts w:hint="eastAsia" w:ascii="仿宋" w:hAnsi="仿宋" w:eastAsia="仿宋" w:cs="仿宋"/>
          <w:bCs/>
          <w:color w:val="auto"/>
          <w:kern w:val="2"/>
          <w:sz w:val="24"/>
          <w:szCs w:val="24"/>
          <w:lang w:val="en-US" w:eastAsia="zh-CN" w:bidi="ar-SA"/>
        </w:rPr>
        <w:t>5.2会议定点场所的政府采购控制价格由具体负责政府采购的财政部门按照不高于本地区会议费管理办法规定的开支标准确定。具体为：</w:t>
      </w:r>
    </w:p>
    <w:tbl>
      <w:tblPr>
        <w:tblStyle w:val="8"/>
        <w:tblW w:w="9321" w:type="dxa"/>
        <w:tblInd w:w="93" w:type="dxa"/>
        <w:tblLayout w:type="fixed"/>
        <w:tblCellMar>
          <w:top w:w="0" w:type="dxa"/>
          <w:left w:w="108" w:type="dxa"/>
          <w:bottom w:w="0" w:type="dxa"/>
          <w:right w:w="108" w:type="dxa"/>
        </w:tblCellMar>
      </w:tblPr>
      <w:tblGrid>
        <w:gridCol w:w="2302"/>
        <w:gridCol w:w="1554"/>
        <w:gridCol w:w="1433"/>
        <w:gridCol w:w="2172"/>
        <w:gridCol w:w="1860"/>
      </w:tblGrid>
      <w:tr w14:paraId="60E0C85C">
        <w:tblPrEx>
          <w:tblCellMar>
            <w:top w:w="0" w:type="dxa"/>
            <w:left w:w="108" w:type="dxa"/>
            <w:bottom w:w="0" w:type="dxa"/>
            <w:right w:w="108" w:type="dxa"/>
          </w:tblCellMar>
        </w:tblPrEx>
        <w:trPr>
          <w:trHeight w:val="290" w:hRule="atLeast"/>
        </w:trPr>
        <w:tc>
          <w:tcPr>
            <w:tcW w:w="2302" w:type="dxa"/>
            <w:tcBorders>
              <w:top w:val="nil"/>
              <w:left w:val="nil"/>
              <w:bottom w:val="nil"/>
              <w:right w:val="nil"/>
            </w:tcBorders>
            <w:noWrap w:val="0"/>
            <w:vAlign w:val="bottom"/>
          </w:tcPr>
          <w:p w14:paraId="54C6531C">
            <w:pPr>
              <w:widowControl/>
              <w:jc w:val="left"/>
              <w:rPr>
                <w:rFonts w:hint="eastAsia" w:ascii="仿宋" w:hAnsi="仿宋" w:eastAsia="仿宋" w:cs="仿宋"/>
                <w:color w:val="auto"/>
                <w:kern w:val="0"/>
                <w:sz w:val="18"/>
                <w:szCs w:val="18"/>
                <w:lang w:val="en-US" w:eastAsia="zh-CN"/>
              </w:rPr>
            </w:pPr>
          </w:p>
        </w:tc>
        <w:tc>
          <w:tcPr>
            <w:tcW w:w="1554" w:type="dxa"/>
            <w:tcBorders>
              <w:top w:val="nil"/>
              <w:left w:val="nil"/>
              <w:bottom w:val="nil"/>
              <w:right w:val="nil"/>
            </w:tcBorders>
            <w:noWrap w:val="0"/>
            <w:vAlign w:val="bottom"/>
          </w:tcPr>
          <w:p w14:paraId="13794B80">
            <w:pPr>
              <w:widowControl/>
              <w:jc w:val="left"/>
              <w:rPr>
                <w:rFonts w:hint="eastAsia" w:ascii="仿宋" w:hAnsi="仿宋" w:eastAsia="仿宋" w:cs="仿宋"/>
                <w:color w:val="auto"/>
                <w:kern w:val="0"/>
                <w:sz w:val="18"/>
                <w:szCs w:val="18"/>
              </w:rPr>
            </w:pPr>
          </w:p>
        </w:tc>
        <w:tc>
          <w:tcPr>
            <w:tcW w:w="1433" w:type="dxa"/>
            <w:tcBorders>
              <w:top w:val="nil"/>
              <w:left w:val="nil"/>
              <w:bottom w:val="nil"/>
              <w:right w:val="nil"/>
            </w:tcBorders>
            <w:noWrap w:val="0"/>
            <w:vAlign w:val="bottom"/>
          </w:tcPr>
          <w:p w14:paraId="5A4843EC">
            <w:pPr>
              <w:widowControl/>
              <w:jc w:val="left"/>
              <w:rPr>
                <w:rFonts w:hint="eastAsia" w:ascii="仿宋" w:hAnsi="仿宋" w:eastAsia="仿宋" w:cs="仿宋"/>
                <w:color w:val="auto"/>
                <w:kern w:val="0"/>
                <w:sz w:val="18"/>
                <w:szCs w:val="18"/>
              </w:rPr>
            </w:pPr>
          </w:p>
        </w:tc>
        <w:tc>
          <w:tcPr>
            <w:tcW w:w="4032" w:type="dxa"/>
            <w:gridSpan w:val="2"/>
            <w:tcBorders>
              <w:top w:val="nil"/>
              <w:left w:val="nil"/>
              <w:bottom w:val="nil"/>
              <w:right w:val="nil"/>
            </w:tcBorders>
            <w:noWrap w:val="0"/>
            <w:vAlign w:val="bottom"/>
          </w:tcPr>
          <w:p w14:paraId="7DFB786C">
            <w:pPr>
              <w:widowControl/>
              <w:jc w:val="righ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单位：元/人/天</w:t>
            </w:r>
          </w:p>
        </w:tc>
      </w:tr>
      <w:tr w14:paraId="40FDF89F">
        <w:tblPrEx>
          <w:tblCellMar>
            <w:top w:w="0" w:type="dxa"/>
            <w:left w:w="108" w:type="dxa"/>
            <w:bottom w:w="0" w:type="dxa"/>
            <w:right w:w="108" w:type="dxa"/>
          </w:tblCellMar>
        </w:tblPrEx>
        <w:trPr>
          <w:trHeight w:val="647" w:hRule="atLeast"/>
        </w:trPr>
        <w:tc>
          <w:tcPr>
            <w:tcW w:w="2302" w:type="dxa"/>
            <w:tcBorders>
              <w:top w:val="single" w:color="auto" w:sz="4" w:space="0"/>
              <w:left w:val="single" w:color="auto" w:sz="4" w:space="0"/>
              <w:bottom w:val="single" w:color="auto" w:sz="4" w:space="0"/>
              <w:right w:val="single" w:color="auto" w:sz="4" w:space="0"/>
            </w:tcBorders>
            <w:noWrap w:val="0"/>
            <w:vAlign w:val="bottom"/>
          </w:tcPr>
          <w:p w14:paraId="1ABBEADD">
            <w:pPr>
              <w:widowControl/>
              <w:jc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会议类别</w:t>
            </w:r>
          </w:p>
        </w:tc>
        <w:tc>
          <w:tcPr>
            <w:tcW w:w="1554" w:type="dxa"/>
            <w:tcBorders>
              <w:top w:val="single" w:color="auto" w:sz="4" w:space="0"/>
              <w:left w:val="nil"/>
              <w:bottom w:val="single" w:color="auto" w:sz="4" w:space="0"/>
              <w:right w:val="single" w:color="auto" w:sz="4" w:space="0"/>
            </w:tcBorders>
            <w:noWrap w:val="0"/>
            <w:vAlign w:val="bottom"/>
          </w:tcPr>
          <w:p w14:paraId="1342D63E">
            <w:pPr>
              <w:widowControl/>
              <w:jc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住宿费</w:t>
            </w:r>
          </w:p>
        </w:tc>
        <w:tc>
          <w:tcPr>
            <w:tcW w:w="1433" w:type="dxa"/>
            <w:tcBorders>
              <w:top w:val="single" w:color="auto" w:sz="4" w:space="0"/>
              <w:left w:val="nil"/>
              <w:bottom w:val="single" w:color="auto" w:sz="4" w:space="0"/>
              <w:right w:val="single" w:color="auto" w:sz="4" w:space="0"/>
            </w:tcBorders>
            <w:noWrap w:val="0"/>
            <w:vAlign w:val="bottom"/>
          </w:tcPr>
          <w:p w14:paraId="027B5E51">
            <w:pPr>
              <w:widowControl/>
              <w:jc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伙食费</w:t>
            </w:r>
          </w:p>
        </w:tc>
        <w:tc>
          <w:tcPr>
            <w:tcW w:w="2172" w:type="dxa"/>
            <w:tcBorders>
              <w:top w:val="single" w:color="auto" w:sz="4" w:space="0"/>
              <w:left w:val="nil"/>
              <w:bottom w:val="single" w:color="auto" w:sz="4" w:space="0"/>
              <w:right w:val="single" w:color="auto" w:sz="4" w:space="0"/>
            </w:tcBorders>
            <w:noWrap w:val="0"/>
            <w:vAlign w:val="bottom"/>
          </w:tcPr>
          <w:p w14:paraId="19E87BEF">
            <w:pPr>
              <w:widowControl/>
              <w:jc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其他费用</w:t>
            </w:r>
          </w:p>
        </w:tc>
        <w:tc>
          <w:tcPr>
            <w:tcW w:w="1860" w:type="dxa"/>
            <w:tcBorders>
              <w:top w:val="single" w:color="auto" w:sz="4" w:space="0"/>
              <w:left w:val="nil"/>
              <w:bottom w:val="single" w:color="auto" w:sz="4" w:space="0"/>
              <w:right w:val="single" w:color="auto" w:sz="4" w:space="0"/>
            </w:tcBorders>
            <w:noWrap w:val="0"/>
            <w:vAlign w:val="bottom"/>
          </w:tcPr>
          <w:p w14:paraId="1C6B3DF6">
            <w:pPr>
              <w:widowControl/>
              <w:jc w:val="center"/>
              <w:rPr>
                <w:rFonts w:hint="eastAsia" w:ascii="仿宋" w:hAnsi="仿宋" w:eastAsia="仿宋" w:cs="仿宋"/>
                <w:b/>
                <w:bCs/>
                <w:color w:val="FF0000"/>
                <w:kern w:val="0"/>
                <w:sz w:val="18"/>
                <w:szCs w:val="18"/>
              </w:rPr>
            </w:pPr>
            <w:r>
              <w:rPr>
                <w:rFonts w:hint="eastAsia" w:ascii="仿宋" w:hAnsi="仿宋" w:eastAsia="仿宋" w:cs="仿宋"/>
                <w:b/>
                <w:bCs/>
                <w:color w:val="FF0000"/>
                <w:kern w:val="0"/>
                <w:sz w:val="18"/>
                <w:szCs w:val="18"/>
              </w:rPr>
              <w:t>合计</w:t>
            </w:r>
          </w:p>
        </w:tc>
      </w:tr>
      <w:tr w14:paraId="1BA3C1AC">
        <w:tblPrEx>
          <w:tblCellMar>
            <w:top w:w="0" w:type="dxa"/>
            <w:left w:w="108" w:type="dxa"/>
            <w:bottom w:w="0" w:type="dxa"/>
            <w:right w:w="108" w:type="dxa"/>
          </w:tblCellMar>
        </w:tblPrEx>
        <w:trPr>
          <w:trHeight w:val="290" w:hRule="atLeast"/>
        </w:trPr>
        <w:tc>
          <w:tcPr>
            <w:tcW w:w="2302" w:type="dxa"/>
            <w:tcBorders>
              <w:top w:val="nil"/>
              <w:left w:val="single" w:color="auto" w:sz="4" w:space="0"/>
              <w:bottom w:val="single" w:color="auto" w:sz="4" w:space="0"/>
              <w:right w:val="single" w:color="auto" w:sz="4" w:space="0"/>
            </w:tcBorders>
            <w:noWrap w:val="0"/>
            <w:vAlign w:val="bottom"/>
          </w:tcPr>
          <w:p w14:paraId="6728492B">
            <w:pPr>
              <w:widowControl/>
              <w:jc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一类会议</w:t>
            </w:r>
          </w:p>
        </w:tc>
        <w:tc>
          <w:tcPr>
            <w:tcW w:w="1554" w:type="dxa"/>
            <w:tcBorders>
              <w:top w:val="nil"/>
              <w:left w:val="nil"/>
              <w:bottom w:val="single" w:color="auto" w:sz="4" w:space="0"/>
              <w:right w:val="single" w:color="auto" w:sz="4" w:space="0"/>
            </w:tcBorders>
            <w:noWrap w:val="0"/>
            <w:vAlign w:val="bottom"/>
          </w:tcPr>
          <w:p w14:paraId="3B853D4F">
            <w:pPr>
              <w:widowControl/>
              <w:jc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290</w:t>
            </w:r>
          </w:p>
        </w:tc>
        <w:tc>
          <w:tcPr>
            <w:tcW w:w="1433" w:type="dxa"/>
            <w:tcBorders>
              <w:top w:val="nil"/>
              <w:left w:val="nil"/>
              <w:bottom w:val="single" w:color="auto" w:sz="4" w:space="0"/>
              <w:right w:val="single" w:color="auto" w:sz="4" w:space="0"/>
            </w:tcBorders>
            <w:noWrap w:val="0"/>
            <w:vAlign w:val="bottom"/>
          </w:tcPr>
          <w:p w14:paraId="19A5E107">
            <w:pPr>
              <w:widowControl/>
              <w:jc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120</w:t>
            </w:r>
          </w:p>
        </w:tc>
        <w:tc>
          <w:tcPr>
            <w:tcW w:w="2172" w:type="dxa"/>
            <w:tcBorders>
              <w:top w:val="nil"/>
              <w:left w:val="nil"/>
              <w:bottom w:val="single" w:color="auto" w:sz="4" w:space="0"/>
              <w:right w:val="single" w:color="auto" w:sz="4" w:space="0"/>
            </w:tcBorders>
            <w:noWrap w:val="0"/>
            <w:vAlign w:val="bottom"/>
          </w:tcPr>
          <w:p w14:paraId="662285DC">
            <w:pPr>
              <w:widowControl/>
              <w:jc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70</w:t>
            </w:r>
          </w:p>
        </w:tc>
        <w:tc>
          <w:tcPr>
            <w:tcW w:w="1860" w:type="dxa"/>
            <w:tcBorders>
              <w:top w:val="nil"/>
              <w:left w:val="nil"/>
              <w:bottom w:val="single" w:color="auto" w:sz="4" w:space="0"/>
              <w:right w:val="single" w:color="auto" w:sz="4" w:space="0"/>
            </w:tcBorders>
            <w:noWrap w:val="0"/>
            <w:vAlign w:val="bottom"/>
          </w:tcPr>
          <w:p w14:paraId="44E302DF">
            <w:pPr>
              <w:widowControl/>
              <w:jc w:val="center"/>
              <w:rPr>
                <w:rFonts w:hint="eastAsia" w:ascii="仿宋" w:hAnsi="仿宋" w:eastAsia="仿宋" w:cs="仿宋"/>
                <w:b/>
                <w:bCs/>
                <w:color w:val="FF0000"/>
                <w:kern w:val="0"/>
                <w:sz w:val="18"/>
                <w:szCs w:val="18"/>
              </w:rPr>
            </w:pPr>
            <w:r>
              <w:rPr>
                <w:rFonts w:hint="eastAsia" w:ascii="仿宋" w:hAnsi="仿宋" w:eastAsia="仿宋" w:cs="仿宋"/>
                <w:b/>
                <w:bCs/>
                <w:color w:val="FF0000"/>
                <w:kern w:val="0"/>
                <w:sz w:val="18"/>
                <w:szCs w:val="18"/>
              </w:rPr>
              <w:t>480</w:t>
            </w:r>
          </w:p>
        </w:tc>
      </w:tr>
      <w:tr w14:paraId="070C7F5F">
        <w:tblPrEx>
          <w:tblCellMar>
            <w:top w:w="0" w:type="dxa"/>
            <w:left w:w="108" w:type="dxa"/>
            <w:bottom w:w="0" w:type="dxa"/>
            <w:right w:w="108" w:type="dxa"/>
          </w:tblCellMar>
        </w:tblPrEx>
        <w:trPr>
          <w:trHeight w:val="290" w:hRule="atLeast"/>
        </w:trPr>
        <w:tc>
          <w:tcPr>
            <w:tcW w:w="2302" w:type="dxa"/>
            <w:tcBorders>
              <w:top w:val="nil"/>
              <w:left w:val="single" w:color="auto" w:sz="4" w:space="0"/>
              <w:bottom w:val="single" w:color="auto" w:sz="4" w:space="0"/>
              <w:right w:val="single" w:color="auto" w:sz="4" w:space="0"/>
            </w:tcBorders>
            <w:noWrap w:val="0"/>
            <w:vAlign w:val="bottom"/>
          </w:tcPr>
          <w:p w14:paraId="1858595E">
            <w:pPr>
              <w:widowControl/>
              <w:jc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二类会议</w:t>
            </w:r>
          </w:p>
        </w:tc>
        <w:tc>
          <w:tcPr>
            <w:tcW w:w="1554" w:type="dxa"/>
            <w:tcBorders>
              <w:top w:val="nil"/>
              <w:left w:val="nil"/>
              <w:bottom w:val="single" w:color="auto" w:sz="4" w:space="0"/>
              <w:right w:val="single" w:color="auto" w:sz="4" w:space="0"/>
            </w:tcBorders>
            <w:noWrap w:val="0"/>
            <w:vAlign w:val="bottom"/>
          </w:tcPr>
          <w:p w14:paraId="0D244C5A">
            <w:pPr>
              <w:widowControl/>
              <w:jc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240</w:t>
            </w:r>
          </w:p>
        </w:tc>
        <w:tc>
          <w:tcPr>
            <w:tcW w:w="1433" w:type="dxa"/>
            <w:tcBorders>
              <w:top w:val="nil"/>
              <w:left w:val="nil"/>
              <w:bottom w:val="single" w:color="auto" w:sz="4" w:space="0"/>
              <w:right w:val="single" w:color="auto" w:sz="4" w:space="0"/>
            </w:tcBorders>
            <w:noWrap w:val="0"/>
            <w:vAlign w:val="bottom"/>
          </w:tcPr>
          <w:p w14:paraId="70B2B572">
            <w:pPr>
              <w:widowControl/>
              <w:jc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110</w:t>
            </w:r>
          </w:p>
        </w:tc>
        <w:tc>
          <w:tcPr>
            <w:tcW w:w="2172" w:type="dxa"/>
            <w:tcBorders>
              <w:top w:val="nil"/>
              <w:left w:val="nil"/>
              <w:bottom w:val="single" w:color="auto" w:sz="4" w:space="0"/>
              <w:right w:val="single" w:color="auto" w:sz="4" w:space="0"/>
            </w:tcBorders>
            <w:noWrap w:val="0"/>
            <w:vAlign w:val="bottom"/>
          </w:tcPr>
          <w:p w14:paraId="14245EC6">
            <w:pPr>
              <w:widowControl/>
              <w:jc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50</w:t>
            </w:r>
          </w:p>
        </w:tc>
        <w:tc>
          <w:tcPr>
            <w:tcW w:w="1860" w:type="dxa"/>
            <w:tcBorders>
              <w:top w:val="nil"/>
              <w:left w:val="nil"/>
              <w:bottom w:val="single" w:color="auto" w:sz="4" w:space="0"/>
              <w:right w:val="single" w:color="auto" w:sz="4" w:space="0"/>
            </w:tcBorders>
            <w:noWrap w:val="0"/>
            <w:vAlign w:val="bottom"/>
          </w:tcPr>
          <w:p w14:paraId="7DB94096">
            <w:pPr>
              <w:widowControl/>
              <w:jc w:val="center"/>
              <w:rPr>
                <w:rFonts w:hint="eastAsia" w:ascii="仿宋" w:hAnsi="仿宋" w:eastAsia="仿宋" w:cs="仿宋"/>
                <w:b/>
                <w:bCs/>
                <w:color w:val="FF0000"/>
                <w:kern w:val="0"/>
                <w:sz w:val="18"/>
                <w:szCs w:val="18"/>
              </w:rPr>
            </w:pPr>
            <w:r>
              <w:rPr>
                <w:rFonts w:hint="eastAsia" w:ascii="仿宋" w:hAnsi="仿宋" w:eastAsia="仿宋" w:cs="仿宋"/>
                <w:b/>
                <w:bCs/>
                <w:color w:val="FF0000"/>
                <w:kern w:val="0"/>
                <w:sz w:val="18"/>
                <w:szCs w:val="18"/>
              </w:rPr>
              <w:t>400</w:t>
            </w:r>
          </w:p>
        </w:tc>
      </w:tr>
      <w:tr w14:paraId="1FA10E45">
        <w:tblPrEx>
          <w:tblCellMar>
            <w:top w:w="0" w:type="dxa"/>
            <w:left w:w="108" w:type="dxa"/>
            <w:bottom w:w="0" w:type="dxa"/>
            <w:right w:w="108" w:type="dxa"/>
          </w:tblCellMar>
        </w:tblPrEx>
        <w:trPr>
          <w:trHeight w:val="290" w:hRule="atLeast"/>
        </w:trPr>
        <w:tc>
          <w:tcPr>
            <w:tcW w:w="2302" w:type="dxa"/>
            <w:tcBorders>
              <w:top w:val="nil"/>
              <w:left w:val="single" w:color="auto" w:sz="4" w:space="0"/>
              <w:bottom w:val="single" w:color="auto" w:sz="4" w:space="0"/>
              <w:right w:val="single" w:color="auto" w:sz="4" w:space="0"/>
            </w:tcBorders>
            <w:noWrap w:val="0"/>
            <w:vAlign w:val="bottom"/>
          </w:tcPr>
          <w:p w14:paraId="25902971">
            <w:pPr>
              <w:widowControl/>
              <w:jc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三、四类会议</w:t>
            </w:r>
          </w:p>
        </w:tc>
        <w:tc>
          <w:tcPr>
            <w:tcW w:w="1554" w:type="dxa"/>
            <w:tcBorders>
              <w:top w:val="nil"/>
              <w:left w:val="nil"/>
              <w:bottom w:val="single" w:color="auto" w:sz="4" w:space="0"/>
              <w:right w:val="single" w:color="auto" w:sz="4" w:space="0"/>
            </w:tcBorders>
            <w:noWrap w:val="0"/>
            <w:vAlign w:val="bottom"/>
          </w:tcPr>
          <w:p w14:paraId="447093B4">
            <w:pPr>
              <w:widowControl/>
              <w:jc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180</w:t>
            </w:r>
          </w:p>
        </w:tc>
        <w:tc>
          <w:tcPr>
            <w:tcW w:w="1433" w:type="dxa"/>
            <w:tcBorders>
              <w:top w:val="nil"/>
              <w:left w:val="nil"/>
              <w:bottom w:val="single" w:color="auto" w:sz="4" w:space="0"/>
              <w:right w:val="single" w:color="auto" w:sz="4" w:space="0"/>
            </w:tcBorders>
            <w:noWrap w:val="0"/>
            <w:vAlign w:val="bottom"/>
          </w:tcPr>
          <w:p w14:paraId="3F96C4E3">
            <w:pPr>
              <w:widowControl/>
              <w:jc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100</w:t>
            </w:r>
          </w:p>
        </w:tc>
        <w:tc>
          <w:tcPr>
            <w:tcW w:w="2172" w:type="dxa"/>
            <w:tcBorders>
              <w:top w:val="nil"/>
              <w:left w:val="nil"/>
              <w:bottom w:val="single" w:color="auto" w:sz="4" w:space="0"/>
              <w:right w:val="single" w:color="auto" w:sz="4" w:space="0"/>
            </w:tcBorders>
            <w:noWrap w:val="0"/>
            <w:vAlign w:val="bottom"/>
          </w:tcPr>
          <w:p w14:paraId="2BFC4B5E">
            <w:pPr>
              <w:widowControl/>
              <w:jc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40</w:t>
            </w:r>
          </w:p>
        </w:tc>
        <w:tc>
          <w:tcPr>
            <w:tcW w:w="1860" w:type="dxa"/>
            <w:tcBorders>
              <w:top w:val="nil"/>
              <w:left w:val="nil"/>
              <w:bottom w:val="single" w:color="auto" w:sz="4" w:space="0"/>
              <w:right w:val="single" w:color="auto" w:sz="4" w:space="0"/>
            </w:tcBorders>
            <w:noWrap w:val="0"/>
            <w:vAlign w:val="bottom"/>
          </w:tcPr>
          <w:p w14:paraId="725E04BD">
            <w:pPr>
              <w:widowControl/>
              <w:jc w:val="center"/>
              <w:rPr>
                <w:rFonts w:hint="eastAsia" w:ascii="仿宋" w:hAnsi="仿宋" w:eastAsia="仿宋" w:cs="仿宋"/>
                <w:b/>
                <w:bCs/>
                <w:color w:val="FF0000"/>
                <w:kern w:val="0"/>
                <w:sz w:val="18"/>
                <w:szCs w:val="18"/>
              </w:rPr>
            </w:pPr>
            <w:r>
              <w:rPr>
                <w:rFonts w:hint="eastAsia" w:ascii="仿宋" w:hAnsi="仿宋" w:eastAsia="仿宋" w:cs="仿宋"/>
                <w:b/>
                <w:bCs/>
                <w:color w:val="FF0000"/>
                <w:kern w:val="0"/>
                <w:sz w:val="18"/>
                <w:szCs w:val="18"/>
              </w:rPr>
              <w:t>320</w:t>
            </w:r>
          </w:p>
        </w:tc>
      </w:tr>
    </w:tbl>
    <w:p w14:paraId="26AF6F8D">
      <w:pPr>
        <w:pStyle w:val="4"/>
        <w:snapToGrid w:val="0"/>
        <w:spacing w:line="300" w:lineRule="auto"/>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注：</w:t>
      </w:r>
    </w:p>
    <w:p w14:paraId="227FA25D">
      <w:pPr>
        <w:keepNext w:val="0"/>
        <w:keepLines w:val="0"/>
        <w:pageBreakBefore w:val="0"/>
        <w:widowControl w:val="0"/>
        <w:numPr>
          <w:ilvl w:val="0"/>
          <w:numId w:val="3"/>
        </w:numP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其他费用包括会议室租金、会议资料印刷、交通费等</w:t>
      </w:r>
      <w:r>
        <w:rPr>
          <w:rFonts w:hint="eastAsia" w:ascii="仿宋" w:hAnsi="仿宋" w:eastAsia="仿宋" w:cs="仿宋"/>
          <w:color w:val="auto"/>
          <w:sz w:val="24"/>
          <w:szCs w:val="24"/>
          <w:lang w:eastAsia="zh-CN"/>
        </w:rPr>
        <w:t>。</w:t>
      </w:r>
    </w:p>
    <w:p w14:paraId="2D079304">
      <w:pPr>
        <w:spacing w:line="360" w:lineRule="auto"/>
        <w:ind w:firstLine="482" w:firstLineChars="200"/>
        <w:rPr>
          <w:rFonts w:hint="default" w:ascii="仿宋" w:hAnsi="仿宋" w:eastAsia="仿宋"/>
          <w:sz w:val="24"/>
          <w:szCs w:val="24"/>
          <w:lang w:val="en-US" w:eastAsia="zh-CN"/>
        </w:rPr>
      </w:pPr>
      <w:r>
        <w:rPr>
          <w:rFonts w:hint="eastAsia" w:ascii="仿宋" w:hAnsi="仿宋" w:eastAsia="仿宋" w:cs="仿宋"/>
          <w:b/>
          <w:bCs w:val="0"/>
          <w:color w:val="auto"/>
          <w:sz w:val="24"/>
          <w:szCs w:val="24"/>
          <w:lang w:val="en-US" w:eastAsia="zh-CN"/>
        </w:rPr>
        <w:t>2、</w:t>
      </w:r>
      <w:r>
        <w:rPr>
          <w:rFonts w:hint="eastAsia" w:ascii="仿宋" w:hAnsi="仿宋" w:eastAsia="仿宋" w:cs="仿宋"/>
          <w:b/>
          <w:bCs w:val="0"/>
          <w:color w:val="auto"/>
          <w:sz w:val="24"/>
          <w:szCs w:val="24"/>
        </w:rPr>
        <w:t>投标人</w:t>
      </w:r>
      <w:r>
        <w:rPr>
          <w:rFonts w:hint="eastAsia" w:ascii="仿宋" w:hAnsi="仿宋" w:eastAsia="仿宋" w:cs="仿宋"/>
          <w:b/>
          <w:bCs w:val="0"/>
          <w:color w:val="auto"/>
          <w:sz w:val="24"/>
          <w:szCs w:val="24"/>
          <w:lang w:eastAsia="zh-CN"/>
        </w:rPr>
        <w:t>投标报价应低于上述采购控制价格</w:t>
      </w:r>
      <w:r>
        <w:rPr>
          <w:rFonts w:hint="eastAsia" w:ascii="仿宋" w:hAnsi="仿宋" w:eastAsia="仿宋" w:cs="仿宋"/>
          <w:b/>
          <w:bCs w:val="0"/>
          <w:color w:val="000000"/>
          <w:sz w:val="24"/>
          <w:szCs w:val="24"/>
          <w:lang w:eastAsia="zh-CN"/>
        </w:rPr>
        <w:t>，投标报价优惠率不得高于</w:t>
      </w:r>
      <w:r>
        <w:rPr>
          <w:rFonts w:hint="eastAsia" w:ascii="仿宋" w:hAnsi="仿宋" w:eastAsia="仿宋" w:cs="仿宋"/>
          <w:b/>
          <w:bCs w:val="0"/>
          <w:color w:val="000000"/>
          <w:sz w:val="24"/>
          <w:szCs w:val="24"/>
          <w:highlight w:val="none"/>
          <w:lang w:val="en-US" w:eastAsia="zh-CN"/>
        </w:rPr>
        <w:t>70%，</w:t>
      </w:r>
      <w:r>
        <w:rPr>
          <w:rFonts w:hint="eastAsia" w:ascii="仿宋" w:hAnsi="仿宋" w:eastAsia="仿宋" w:cs="仿宋"/>
          <w:b/>
          <w:bCs w:val="0"/>
          <w:color w:val="000000"/>
          <w:sz w:val="24"/>
          <w:szCs w:val="24"/>
          <w:highlight w:val="none"/>
          <w:lang w:eastAsia="zh-CN"/>
        </w:rPr>
        <w:t>。供应商报价优惠率为三项费用</w:t>
      </w:r>
      <w:r>
        <w:rPr>
          <w:rFonts w:hint="eastAsia" w:ascii="仿宋" w:hAnsi="仿宋" w:eastAsia="仿宋" w:cs="仿宋"/>
          <w:b/>
          <w:bCs w:val="0"/>
          <w:color w:val="000000"/>
          <w:sz w:val="24"/>
          <w:szCs w:val="24"/>
          <w:highlight w:val="none"/>
          <w:lang w:val="en-US" w:eastAsia="zh-CN"/>
        </w:rPr>
        <w:t>同等</w:t>
      </w:r>
      <w:r>
        <w:rPr>
          <w:rFonts w:hint="eastAsia" w:ascii="仿宋" w:hAnsi="仿宋" w:eastAsia="仿宋" w:cs="仿宋"/>
          <w:b/>
          <w:bCs w:val="0"/>
          <w:color w:val="000000"/>
          <w:sz w:val="24"/>
          <w:szCs w:val="24"/>
          <w:highlight w:val="none"/>
          <w:lang w:eastAsia="zh-CN"/>
        </w:rPr>
        <w:t>优惠率，如报价</w:t>
      </w:r>
      <w:r>
        <w:rPr>
          <w:rFonts w:hint="eastAsia" w:ascii="仿宋" w:hAnsi="仿宋" w:eastAsia="仿宋" w:cs="仿宋"/>
          <w:b/>
          <w:bCs w:val="0"/>
          <w:color w:val="000000"/>
          <w:sz w:val="24"/>
          <w:szCs w:val="24"/>
          <w:highlight w:val="none"/>
          <w:lang w:val="en-US" w:eastAsia="zh-CN"/>
        </w:rPr>
        <w:t>60%，即住宿费、伙食费、其他费用均为60%。</w:t>
      </w:r>
      <w:r>
        <w:rPr>
          <w:rFonts w:hint="eastAsia" w:ascii="仿宋" w:hAnsi="仿宋" w:eastAsia="仿宋" w:cs="仿宋"/>
          <w:b/>
          <w:bCs w:val="0"/>
          <w:color w:val="000000"/>
          <w:sz w:val="24"/>
          <w:szCs w:val="24"/>
          <w:highlight w:val="none"/>
          <w:lang w:eastAsia="zh-CN"/>
        </w:rPr>
        <w:t>协议</w:t>
      </w:r>
      <w:r>
        <w:rPr>
          <w:rFonts w:hint="eastAsia" w:ascii="仿宋" w:hAnsi="仿宋" w:eastAsia="仿宋" w:cs="仿宋"/>
          <w:b/>
          <w:bCs w:val="0"/>
          <w:color w:val="000000"/>
          <w:sz w:val="24"/>
          <w:szCs w:val="24"/>
          <w:highlight w:val="none"/>
        </w:rPr>
        <w:t>价格在服务期内不得以任何理由随意变更。</w:t>
      </w:r>
      <w:r>
        <w:rPr>
          <w:rFonts w:hint="eastAsia" w:ascii="仿宋" w:hAnsi="仿宋" w:eastAsia="仿宋" w:cs="仿宋"/>
          <w:b/>
          <w:bCs w:val="0"/>
          <w:color w:val="000000"/>
          <w:sz w:val="24"/>
          <w:szCs w:val="24"/>
          <w:highlight w:val="none"/>
          <w:lang w:eastAsia="zh-CN"/>
        </w:rPr>
        <w:t>报价说明：</w:t>
      </w:r>
      <w:r>
        <w:rPr>
          <w:rFonts w:hint="default" w:ascii="仿宋" w:hAnsi="仿宋" w:eastAsia="仿宋"/>
          <w:sz w:val="24"/>
          <w:szCs w:val="24"/>
          <w:highlight w:val="none"/>
          <w:lang w:val="en-US" w:eastAsia="zh-CN"/>
        </w:rPr>
        <w:t>（1）供应商应对所投包的</w:t>
      </w:r>
      <w:r>
        <w:rPr>
          <w:rFonts w:hint="eastAsia" w:ascii="仿宋" w:hAnsi="仿宋" w:eastAsia="仿宋"/>
          <w:sz w:val="24"/>
          <w:szCs w:val="24"/>
          <w:highlight w:val="none"/>
          <w:lang w:val="en-US" w:eastAsia="zh-CN"/>
        </w:rPr>
        <w:t>会议</w:t>
      </w:r>
      <w:r>
        <w:rPr>
          <w:rFonts w:hint="default" w:ascii="仿宋" w:hAnsi="仿宋" w:eastAsia="仿宋"/>
          <w:sz w:val="24"/>
          <w:szCs w:val="24"/>
          <w:highlight w:val="none"/>
          <w:lang w:val="en-US" w:eastAsia="zh-CN"/>
        </w:rPr>
        <w:t>服务内容进行报价，</w:t>
      </w:r>
      <w:r>
        <w:rPr>
          <w:rFonts w:hint="default" w:ascii="仿宋" w:hAnsi="仿宋" w:eastAsia="仿宋"/>
          <w:sz w:val="24"/>
          <w:szCs w:val="24"/>
          <w:highlight w:val="none"/>
          <w:lang w:eastAsia="zh-CN"/>
        </w:rPr>
        <w:t>根据各服务项最高限制单价提出统一的报价折扣率，</w:t>
      </w:r>
      <w:r>
        <w:rPr>
          <w:rFonts w:hint="default" w:ascii="仿宋" w:hAnsi="仿宋" w:eastAsia="仿宋"/>
          <w:sz w:val="24"/>
          <w:szCs w:val="24"/>
          <w:highlight w:val="none"/>
          <w:lang w:val="en-US" w:eastAsia="zh-CN"/>
        </w:rPr>
        <w:t>每一包只允许有一个报价，报价最高不得超过</w:t>
      </w:r>
      <w:r>
        <w:rPr>
          <w:rFonts w:hint="eastAsia" w:ascii="仿宋" w:hAnsi="仿宋" w:eastAsia="仿宋"/>
          <w:sz w:val="24"/>
          <w:szCs w:val="24"/>
          <w:highlight w:val="none"/>
          <w:lang w:val="en-US" w:eastAsia="zh-CN"/>
        </w:rPr>
        <w:t>70</w:t>
      </w:r>
      <w:r>
        <w:rPr>
          <w:rFonts w:hint="default" w:ascii="仿宋" w:hAnsi="仿宋" w:eastAsia="仿宋"/>
          <w:sz w:val="24"/>
          <w:szCs w:val="24"/>
          <w:highlight w:val="none"/>
          <w:lang w:val="en-US" w:eastAsia="zh-CN"/>
        </w:rPr>
        <w:t>%，</w:t>
      </w:r>
      <w:r>
        <w:rPr>
          <w:rFonts w:hint="default" w:ascii="仿宋" w:hAnsi="仿宋" w:eastAsia="仿宋"/>
          <w:sz w:val="24"/>
          <w:szCs w:val="24"/>
          <w:lang w:val="en-US" w:eastAsia="zh-CN"/>
        </w:rPr>
        <w:t>否则将按照无效投标处理。</w:t>
      </w:r>
    </w:p>
    <w:p w14:paraId="7F763F0D">
      <w:pPr>
        <w:spacing w:line="360" w:lineRule="auto"/>
        <w:ind w:firstLine="480" w:firstLineChars="200"/>
        <w:rPr>
          <w:rFonts w:hint="eastAsia" w:ascii="仿宋" w:hAnsi="仿宋" w:eastAsia="仿宋"/>
          <w:sz w:val="24"/>
          <w:szCs w:val="24"/>
        </w:rPr>
      </w:pPr>
      <w:r>
        <w:rPr>
          <w:rFonts w:hint="default" w:ascii="仿宋" w:hAnsi="仿宋" w:eastAsia="仿宋"/>
          <w:sz w:val="24"/>
          <w:szCs w:val="24"/>
          <w:lang w:val="en-US" w:eastAsia="zh-CN"/>
        </w:rPr>
        <w:t>（2）供应商报价以采购</w:t>
      </w:r>
      <w:r>
        <w:rPr>
          <w:rFonts w:hint="default" w:ascii="仿宋" w:hAnsi="仿宋" w:eastAsia="仿宋"/>
          <w:sz w:val="24"/>
          <w:szCs w:val="24"/>
          <w:lang w:eastAsia="zh-CN"/>
        </w:rPr>
        <w:t>服务</w:t>
      </w:r>
      <w:r>
        <w:rPr>
          <w:rFonts w:hint="default" w:ascii="仿宋" w:hAnsi="仿宋" w:eastAsia="仿宋"/>
          <w:sz w:val="24"/>
          <w:szCs w:val="24"/>
          <w:lang w:val="en-US" w:eastAsia="zh-CN"/>
        </w:rPr>
        <w:t>内容中的最高限制单价为基准，如果打8折，则报价为80%，</w:t>
      </w:r>
      <w:r>
        <w:rPr>
          <w:rFonts w:hint="default" w:ascii="仿宋" w:hAnsi="仿宋" w:eastAsia="仿宋"/>
          <w:sz w:val="24"/>
          <w:szCs w:val="24"/>
          <w:highlight w:val="none"/>
          <w:lang w:val="en-US" w:eastAsia="zh-CN"/>
        </w:rPr>
        <w:t xml:space="preserve">为防止报价趋同导致大量供应商进入淘汰备选名次，建议供应商在报价时小数点后位数可多保留几位，如89.325%、73.298%等； </w:t>
      </w:r>
    </w:p>
    <w:p w14:paraId="2BF78845">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
          <w:bCs w:val="0"/>
          <w:color w:val="000000"/>
          <w:sz w:val="24"/>
          <w:szCs w:val="24"/>
        </w:rPr>
      </w:pPr>
      <w:r>
        <w:rPr>
          <w:rFonts w:hint="default" w:ascii="仿宋" w:hAnsi="仿宋" w:eastAsia="仿宋"/>
          <w:sz w:val="24"/>
          <w:szCs w:val="24"/>
          <w:lang w:val="en-US" w:eastAsia="zh-CN"/>
        </w:rPr>
        <w:t>（3）所有报价供应商填写数字即可，单位以对应服务内容中标明的单位为准，供应商报价包含两个％号的，评审默认只取一个％号。</w:t>
      </w:r>
    </w:p>
    <w:p w14:paraId="1E587AA9">
      <w:pPr>
        <w:keepNext w:val="0"/>
        <w:keepLines w:val="0"/>
        <w:pageBreakBefore w:val="0"/>
        <w:widowControl w:val="0"/>
        <w:numPr>
          <w:ilvl w:val="0"/>
          <w:numId w:val="0"/>
        </w:numPr>
        <w:tabs>
          <w:tab w:val="left" w:pos="1680"/>
        </w:tabs>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3、承接一类会议的会议场所，会议室租金及其他费用不高于35元/人半天；承接二类会议的会议场所，会议室租金及其他费用不高于25元/人半天；承接三、四类会议的会议场所，会议室租金及其他费用不高于20元/人半天。</w:t>
      </w:r>
    </w:p>
    <w:p w14:paraId="46EE003E">
      <w:pPr>
        <w:keepNext w:val="0"/>
        <w:keepLines w:val="0"/>
        <w:pageBreakBefore w:val="0"/>
        <w:widowControl w:val="0"/>
        <w:numPr>
          <w:ilvl w:val="0"/>
          <w:numId w:val="0"/>
        </w:numPr>
        <w:tabs>
          <w:tab w:val="left" w:pos="1680"/>
        </w:tabs>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4、承接一类、二类、三类、四类会议的定点场所会议室费用标准的采购价格，根据各饭店硬件和服务管理情况分大、中、小三类进行采购。大会议室可容纳不少于300人，每次半天，会议费5000元内确定（含5000元）；中会议室可容纳不少于200人，每次半天，会议费3000元内确定（含3000元）；小会议室可容纳不少于100人，每次半天，采购价格在1200元（含1200元）以内确定；</w:t>
      </w:r>
    </w:p>
    <w:p w14:paraId="628F78EF">
      <w:pPr>
        <w:keepNext w:val="0"/>
        <w:keepLines w:val="0"/>
        <w:pageBreakBefore w:val="0"/>
        <w:widowControl w:val="0"/>
        <w:numPr>
          <w:ilvl w:val="0"/>
          <w:numId w:val="0"/>
        </w:numPr>
        <w:tabs>
          <w:tab w:val="left" w:pos="1680"/>
        </w:tabs>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5、一类会议会议室费用不超过5000元/半天（会议室租金及其他费用不高于35元/人半天），各项费用合计不超过480元人/天。</w:t>
      </w:r>
    </w:p>
    <w:p w14:paraId="769A6B4F">
      <w:pPr>
        <w:keepNext w:val="0"/>
        <w:keepLines w:val="0"/>
        <w:pageBreakBefore w:val="0"/>
        <w:widowControl w:val="0"/>
        <w:numPr>
          <w:ilvl w:val="0"/>
          <w:numId w:val="0"/>
        </w:numPr>
        <w:tabs>
          <w:tab w:val="left" w:pos="1680"/>
        </w:tabs>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6、二类会议的会议室费用不超过3000元/半天（会议室租金及其他费用不高于25元/人半天），合计不超过400元人/天。</w:t>
      </w:r>
    </w:p>
    <w:p w14:paraId="67BCA8A4">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7、“三、四类”的会议室报价价格不超过2000元/半天（会议室租金及其他费用不高于20元/人半天），合计不超过320元人/天。</w:t>
      </w:r>
    </w:p>
    <w:p w14:paraId="08E52EB8">
      <w:pPr>
        <w:spacing w:line="360" w:lineRule="auto"/>
        <w:rPr>
          <w:rFonts w:hint="eastAsia" w:ascii="仿宋" w:hAnsi="仿宋" w:eastAsia="仿宋"/>
          <w:sz w:val="24"/>
          <w:szCs w:val="24"/>
        </w:rPr>
      </w:pPr>
    </w:p>
    <w:p w14:paraId="1DFE4F53">
      <w:pPr>
        <w:pStyle w:val="6"/>
        <w:numPr>
          <w:ilvl w:val="0"/>
          <w:numId w:val="2"/>
        </w:numPr>
        <w:spacing w:before="0" w:after="0" w:line="360" w:lineRule="auto"/>
        <w:ind w:left="-420" w:leftChars="0" w:firstLine="420" w:firstLineChars="0"/>
        <w:jc w:val="left"/>
        <w:rPr>
          <w:rFonts w:hint="eastAsia" w:ascii="仿宋" w:hAnsi="仿宋" w:eastAsia="仿宋"/>
          <w:bCs w:val="0"/>
          <w:sz w:val="24"/>
          <w:szCs w:val="24"/>
          <w:lang w:val="zh-CN" w:eastAsia="zh-CN"/>
        </w:rPr>
      </w:pPr>
      <w:r>
        <w:rPr>
          <w:rFonts w:hint="eastAsia" w:ascii="仿宋" w:hAnsi="仿宋" w:eastAsia="仿宋"/>
          <w:bCs w:val="0"/>
          <w:sz w:val="24"/>
          <w:szCs w:val="24"/>
          <w:lang w:val="zh-CN" w:eastAsia="zh-CN"/>
        </w:rPr>
        <w:t>其他相关要求</w:t>
      </w:r>
      <w:bookmarkEnd w:id="16"/>
    </w:p>
    <w:p w14:paraId="0C8858AC">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严格依据招标文件要求和投标文件的承诺，向各单位提供服务。不实行任何形式的区域限制，提出任何附加条款。全面履行投标承诺，圆满完成各级单位的相关服务工作，确保质量，提供快捷、方便、满意的服务。</w:t>
      </w:r>
    </w:p>
    <w:p w14:paraId="74BD397E">
      <w:pPr>
        <w:rPr>
          <w:rFonts w:hint="eastAsia" w:ascii="仿宋" w:hAnsi="仿宋" w:eastAsia="仿宋" w:cs="仿宋"/>
          <w:b/>
          <w:sz w:val="32"/>
          <w:szCs w:val="32"/>
        </w:rPr>
      </w:pPr>
      <w:r>
        <w:rPr>
          <w:rFonts w:hint="eastAsia" w:ascii="仿宋" w:hAnsi="仿宋" w:eastAsia="仿宋" w:cs="仿宋"/>
          <w:b/>
          <w:sz w:val="32"/>
          <w:szCs w:val="32"/>
        </w:rPr>
        <w:br w:type="page"/>
      </w:r>
    </w:p>
    <w:p w14:paraId="51E22468">
      <w:pPr>
        <w:pStyle w:val="5"/>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Chars="0"/>
        <w:jc w:val="center"/>
        <w:textAlignment w:val="auto"/>
        <w:outlineLvl w:val="0"/>
        <w:rPr>
          <w:rFonts w:hint="eastAsia" w:ascii="黑体" w:hAnsi="黑体" w:eastAsia="黑体" w:cs="黑体"/>
          <w:b w:val="0"/>
          <w:bCs/>
          <w:sz w:val="32"/>
          <w:szCs w:val="32"/>
          <w:highlight w:val="none"/>
          <w:lang w:val="en-US" w:eastAsia="zh-CN"/>
        </w:rPr>
      </w:pPr>
      <w:r>
        <w:rPr>
          <w:rFonts w:hint="eastAsia" w:ascii="仿宋" w:hAnsi="仿宋" w:eastAsia="仿宋" w:cs="仿宋"/>
          <w:sz w:val="32"/>
          <w:szCs w:val="32"/>
          <w:lang w:val="en-US" w:eastAsia="zh-CN"/>
        </w:rPr>
        <w:t>第三章  确定入围及成交供应商</w:t>
      </w:r>
    </w:p>
    <w:p w14:paraId="43807642">
      <w:pPr>
        <w:numPr>
          <w:ilvl w:val="0"/>
          <w:numId w:val="4"/>
        </w:numPr>
        <w:ind w:left="0" w:leftChars="0" w:firstLine="420" w:firstLineChars="0"/>
        <w:outlineLvl w:val="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确定第一阶段入围供应商的评审方法</w:t>
      </w:r>
    </w:p>
    <w:p w14:paraId="0BC84C8F">
      <w:pPr>
        <w:spacing w:line="360" w:lineRule="auto"/>
        <w:ind w:firstLine="480" w:firstLineChars="200"/>
        <w:rPr>
          <w:rFonts w:ascii="仿宋" w:hAnsi="仿宋" w:eastAsia="仿宋" w:cs="仿宋"/>
          <w:bCs/>
          <w:sz w:val="24"/>
          <w:szCs w:val="24"/>
        </w:rPr>
      </w:pPr>
      <w:r>
        <w:rPr>
          <w:rFonts w:ascii="仿宋" w:hAnsi="仿宋" w:eastAsia="仿宋" w:cs="仿宋"/>
          <w:bCs/>
          <w:sz w:val="24"/>
          <w:szCs w:val="24"/>
        </w:rPr>
        <w:t>1、确定第一阶段入围供应商的评审方法为价格优先法。价格优先法是指对满足采购需求且响应报价不超过最高限制单价的产品，按照响应报价从低到高排序，根据征集文件规定的淘汰率或者入围供应商数量上限，确定入围供应商的评审方法。</w:t>
      </w:r>
    </w:p>
    <w:p w14:paraId="55C6E9DA">
      <w:pPr>
        <w:spacing w:line="360" w:lineRule="auto"/>
        <w:ind w:firstLine="480" w:firstLineChars="200"/>
        <w:rPr>
          <w:rFonts w:ascii="仿宋" w:hAnsi="仿宋" w:eastAsia="仿宋" w:cs="仿宋"/>
          <w:bCs/>
          <w:sz w:val="24"/>
          <w:szCs w:val="24"/>
        </w:rPr>
      </w:pPr>
      <w:r>
        <w:rPr>
          <w:rFonts w:ascii="仿宋" w:hAnsi="仿宋" w:eastAsia="仿宋" w:cs="仿宋"/>
          <w:bCs/>
          <w:sz w:val="24"/>
          <w:szCs w:val="24"/>
        </w:rPr>
        <w:t>2、入围供应商的淘汰比例：20%，且至少淘汰一家供应商（提交响应文件和符合资格条件、实质性要求的供应商少于2家时，采购活动终止）。</w:t>
      </w:r>
    </w:p>
    <w:p w14:paraId="1D875EE9">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（1）</w:t>
      </w:r>
      <w:r>
        <w:rPr>
          <w:rFonts w:ascii="仿宋" w:hAnsi="仿宋" w:eastAsia="仿宋" w:cs="仿宋"/>
          <w:bCs/>
          <w:sz w:val="24"/>
          <w:szCs w:val="24"/>
        </w:rPr>
        <w:t>若计算的淘汰数非整数，则按照向上取整原则进行处理。即，淘汰数量=向上取整[供应商数量×20%]（示例：如有11家供应商投标</w:t>
      </w:r>
      <w:r>
        <w:rPr>
          <w:rFonts w:hint="eastAsia" w:ascii="仿宋" w:hAnsi="仿宋" w:eastAsia="仿宋" w:cs="仿宋"/>
          <w:bCs/>
          <w:sz w:val="24"/>
          <w:szCs w:val="24"/>
        </w:rPr>
        <w:t>，淘汰数量=向上取整</w:t>
      </w:r>
      <w:r>
        <w:rPr>
          <w:rFonts w:ascii="仿宋" w:hAnsi="仿宋" w:eastAsia="仿宋" w:cs="仿宋"/>
          <w:bCs/>
          <w:sz w:val="24"/>
          <w:szCs w:val="24"/>
        </w:rPr>
        <w:t>[</w:t>
      </w:r>
      <w:r>
        <w:rPr>
          <w:rFonts w:hint="eastAsia" w:ascii="仿宋" w:hAnsi="仿宋" w:eastAsia="仿宋" w:cs="仿宋"/>
          <w:bCs/>
          <w:sz w:val="24"/>
          <w:szCs w:val="24"/>
        </w:rPr>
        <w:t>11</w:t>
      </w:r>
      <w:r>
        <w:rPr>
          <w:rFonts w:ascii="仿宋" w:hAnsi="仿宋" w:eastAsia="仿宋" w:cs="仿宋"/>
          <w:bCs/>
          <w:sz w:val="24"/>
          <w:szCs w:val="24"/>
        </w:rPr>
        <w:t>×20%]=向上取整[</w:t>
      </w:r>
      <w:r>
        <w:rPr>
          <w:rFonts w:hint="eastAsia" w:ascii="仿宋" w:hAnsi="仿宋" w:eastAsia="仿宋" w:cs="仿宋"/>
          <w:bCs/>
          <w:sz w:val="24"/>
          <w:szCs w:val="24"/>
        </w:rPr>
        <w:t>2.2</w:t>
      </w:r>
      <w:r>
        <w:rPr>
          <w:rFonts w:ascii="仿宋" w:hAnsi="仿宋" w:eastAsia="仿宋" w:cs="仿宋"/>
          <w:bCs/>
          <w:sz w:val="24"/>
          <w:szCs w:val="24"/>
        </w:rPr>
        <w:t>]</w:t>
      </w:r>
      <w:r>
        <w:rPr>
          <w:rFonts w:hint="eastAsia" w:ascii="仿宋" w:hAnsi="仿宋" w:eastAsia="仿宋" w:cs="仿宋"/>
          <w:bCs/>
          <w:sz w:val="24"/>
          <w:szCs w:val="24"/>
        </w:rPr>
        <w:t>=3</w:t>
      </w:r>
      <w:r>
        <w:rPr>
          <w:rFonts w:ascii="仿宋" w:hAnsi="仿宋" w:eastAsia="仿宋" w:cs="仿宋"/>
          <w:bCs/>
          <w:sz w:val="24"/>
          <w:szCs w:val="24"/>
        </w:rPr>
        <w:t>,最终实际淘汰3家供应商）</w:t>
      </w:r>
      <w:r>
        <w:rPr>
          <w:rFonts w:hint="eastAsia" w:ascii="仿宋" w:hAnsi="仿宋" w:eastAsia="仿宋" w:cs="仿宋"/>
          <w:bCs/>
          <w:sz w:val="24"/>
          <w:szCs w:val="24"/>
        </w:rPr>
        <w:t>；</w:t>
      </w:r>
    </w:p>
    <w:p w14:paraId="318C0C14">
      <w:pPr>
        <w:spacing w:line="360" w:lineRule="auto"/>
        <w:ind w:firstLine="480" w:firstLineChars="200"/>
        <w:rPr>
          <w:rFonts w:hint="eastAsia" w:ascii="仿宋" w:hAnsi="仿宋" w:eastAsia="仿宋" w:cs="仿宋"/>
          <w:bCs/>
          <w:sz w:val="24"/>
          <w:szCs w:val="24"/>
          <w:lang w:val="en-US" w:eastAsia="zh-CN"/>
        </w:rPr>
      </w:pPr>
      <w:r>
        <w:rPr>
          <w:rFonts w:ascii="仿宋" w:hAnsi="仿宋" w:eastAsia="仿宋" w:cs="仿宋"/>
          <w:bCs/>
          <w:sz w:val="24"/>
          <w:szCs w:val="24"/>
        </w:rPr>
        <w:t>（2）</w:t>
      </w:r>
      <w:r>
        <w:rPr>
          <w:rFonts w:hint="eastAsia" w:ascii="仿宋" w:hAnsi="仿宋" w:eastAsia="仿宋" w:cs="仿宋"/>
          <w:bCs/>
          <w:sz w:val="24"/>
          <w:szCs w:val="24"/>
        </w:rPr>
        <w:t>淘汰率得出的淘汰名次存在并列情形，按照下列规定进行排序</w:t>
      </w:r>
      <w:r>
        <w:rPr>
          <w:rFonts w:hint="eastAsia" w:ascii="仿宋" w:hAnsi="仿宋" w:eastAsia="仿宋" w:cs="仿宋"/>
          <w:bCs/>
          <w:sz w:val="24"/>
          <w:szCs w:val="24"/>
          <w:lang w:val="en-US" w:eastAsia="zh-CN"/>
        </w:rPr>
        <w:t>：</w:t>
      </w:r>
    </w:p>
    <w:p w14:paraId="45EB024E">
      <w:pPr>
        <w:numPr>
          <w:ilvl w:val="0"/>
          <w:numId w:val="0"/>
        </w:numPr>
        <w:spacing w:line="360" w:lineRule="auto"/>
        <w:ind w:left="840" w:leftChars="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前述方式仍不能确定拟淘汰供应商排序的，由评审小组采5取随机抽取方式确定拟淘汰供应商排序（抽取过程全程监控录音录像，以确保公正）：</w:t>
      </w:r>
    </w:p>
    <w:p w14:paraId="580ADE48">
      <w:pPr>
        <w:spacing w:line="360" w:lineRule="auto"/>
        <w:ind w:left="1277" w:leftChars="608" w:firstLine="0" w:firstLineChars="0"/>
        <w:rPr>
          <w:rFonts w:ascii="仿宋" w:hAnsi="仿宋" w:eastAsia="仿宋" w:cs="仿宋"/>
          <w:bCs/>
          <w:sz w:val="24"/>
          <w:szCs w:val="24"/>
          <w:highlight w:val="none"/>
        </w:rPr>
      </w:pPr>
      <w:r>
        <w:rPr>
          <w:rFonts w:hint="eastAsia" w:ascii="仿宋" w:hAnsi="仿宋" w:eastAsia="仿宋" w:cs="仿宋"/>
          <w:bCs/>
          <w:sz w:val="24"/>
          <w:szCs w:val="24"/>
          <w:highlight w:val="none"/>
        </w:rPr>
        <w:t>①评审小组随机抽取不同花色数字的扑克牌与不同供应商对应，并记录对应关系；</w:t>
      </w:r>
    </w:p>
    <w:p w14:paraId="3492871F">
      <w:pPr>
        <w:spacing w:line="360" w:lineRule="auto"/>
        <w:ind w:left="1277" w:leftChars="608" w:firstLine="0" w:firstLineChars="0"/>
        <w:rPr>
          <w:rFonts w:ascii="仿宋" w:hAnsi="仿宋" w:eastAsia="仿宋" w:cs="仿宋"/>
          <w:bCs/>
          <w:sz w:val="24"/>
          <w:szCs w:val="24"/>
          <w:highlight w:val="none"/>
        </w:rPr>
      </w:pPr>
      <w:r>
        <w:rPr>
          <w:rFonts w:hint="eastAsia" w:ascii="仿宋" w:hAnsi="仿宋" w:eastAsia="仿宋" w:cs="仿宋"/>
          <w:bCs/>
          <w:sz w:val="24"/>
          <w:szCs w:val="24"/>
          <w:highlight w:val="none"/>
        </w:rPr>
        <w:t>②由</w:t>
      </w:r>
      <w:r>
        <w:rPr>
          <w:rFonts w:hint="eastAsia" w:ascii="仿宋" w:hAnsi="仿宋" w:eastAsia="仿宋" w:cs="仿宋"/>
          <w:bCs/>
          <w:sz w:val="24"/>
          <w:szCs w:val="24"/>
          <w:highlight w:val="none"/>
          <w:lang w:eastAsia="zh-CN"/>
        </w:rPr>
        <w:t>华容区</w:t>
      </w:r>
      <w:r>
        <w:rPr>
          <w:rFonts w:hint="eastAsia" w:ascii="仿宋" w:hAnsi="仿宋" w:eastAsia="仿宋" w:cs="仿宋"/>
          <w:bCs/>
          <w:sz w:val="24"/>
          <w:szCs w:val="24"/>
          <w:highlight w:val="none"/>
        </w:rPr>
        <w:t xml:space="preserve">政府采购中心工作人员将扑克牌背面朝上打乱排序，随机摆放在桌面上（此过程评审小组需回避）； </w:t>
      </w:r>
    </w:p>
    <w:p w14:paraId="222C6324">
      <w:pPr>
        <w:spacing w:line="360" w:lineRule="auto"/>
        <w:ind w:left="1277" w:leftChars="608" w:firstLine="0" w:firstLineChars="0"/>
        <w:rPr>
          <w:rFonts w:ascii="仿宋" w:hAnsi="仿宋" w:eastAsia="仿宋" w:cs="仿宋"/>
          <w:bCs/>
          <w:sz w:val="24"/>
          <w:szCs w:val="24"/>
          <w:highlight w:val="none"/>
        </w:rPr>
      </w:pPr>
      <w:r>
        <w:rPr>
          <w:rFonts w:hint="eastAsia" w:ascii="仿宋" w:hAnsi="仿宋" w:eastAsia="仿宋" w:cs="仿宋"/>
          <w:bCs/>
          <w:sz w:val="24"/>
          <w:szCs w:val="24"/>
          <w:highlight w:val="none"/>
        </w:rPr>
        <w:t>③评审小组随机抽取扑克牌，数量与须淘汰供应商数量相等。与被抽取扑克牌对应的供应商即为淘汰供应商；</w:t>
      </w:r>
    </w:p>
    <w:p w14:paraId="77FC25B0">
      <w:pPr>
        <w:numPr>
          <w:ilvl w:val="0"/>
          <w:numId w:val="0"/>
        </w:numPr>
        <w:spacing w:line="360" w:lineRule="auto"/>
        <w:ind w:left="1159" w:leftChars="552" w:firstLine="0" w:firstLineChars="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④评审小组记录被抽取扑克牌花色数字，并确认淘汰供应商名称。</w:t>
      </w:r>
    </w:p>
    <w:p w14:paraId="490CF8CA">
      <w:pPr>
        <w:numPr>
          <w:ilvl w:val="0"/>
          <w:numId w:val="4"/>
        </w:numPr>
        <w:ind w:left="0" w:leftChars="0" w:firstLine="420" w:firstLineChars="0"/>
        <w:outlineLvl w:val="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确定第二阶段成交供应商的方式</w:t>
      </w:r>
    </w:p>
    <w:p w14:paraId="3DC8A719">
      <w:pPr>
        <w:keepNext w:val="0"/>
        <w:keepLines w:val="0"/>
        <w:widowControl w:val="0"/>
        <w:numPr>
          <w:ilvl w:val="0"/>
          <w:numId w:val="0"/>
        </w:numPr>
        <w:suppressLineNumbers w:val="0"/>
        <w:spacing w:before="0" w:beforeAutospacing="0" w:after="0" w:afterAutospacing="0" w:line="460" w:lineRule="exact"/>
        <w:ind w:leftChars="0" w:right="0" w:rightChars="0" w:firstLine="480" w:firstLineChars="200"/>
        <w:jc w:val="both"/>
        <w:rPr>
          <w:rFonts w:hint="default" w:ascii="华文仿宋" w:hAnsi="华文仿宋" w:eastAsia="华文仿宋" w:cs="Times New Roman"/>
          <w:sz w:val="24"/>
          <w:szCs w:val="24"/>
        </w:rPr>
      </w:pPr>
      <w:r>
        <w:rPr>
          <w:rFonts w:hint="default" w:ascii="仿宋" w:hAnsi="仿宋" w:eastAsia="仿宋" w:cs="仿宋"/>
          <w:bCs/>
          <w:sz w:val="24"/>
          <w:szCs w:val="24"/>
          <w:lang w:val="en-US" w:eastAsia="zh-CN"/>
        </w:rPr>
        <w:t>1.确定第二阶段成交供应商的方式为</w:t>
      </w:r>
      <w:r>
        <w:rPr>
          <w:rStyle w:val="11"/>
          <w:rFonts w:hint="default" w:ascii="华文仿宋" w:hAnsi="华文仿宋" w:eastAsia="华文仿宋" w:cs="华文仿宋"/>
          <w:kern w:val="2"/>
          <w:sz w:val="24"/>
          <w:szCs w:val="24"/>
          <w:lang w:val="en-US" w:eastAsia="zh-CN" w:bidi="ar"/>
        </w:rPr>
        <w:t>直接选定和二次竞价。</w:t>
      </w:r>
    </w:p>
    <w:p w14:paraId="5EDE4A04">
      <w:pPr>
        <w:keepNext w:val="0"/>
        <w:keepLines w:val="0"/>
        <w:widowControl w:val="0"/>
        <w:suppressLineNumbers w:val="0"/>
        <w:spacing w:before="0" w:beforeAutospacing="0" w:after="0" w:afterAutospacing="0" w:line="460" w:lineRule="exact"/>
        <w:ind w:left="0" w:leftChars="0" w:right="0"/>
        <w:jc w:val="both"/>
        <w:rPr>
          <w:rFonts w:hint="default" w:ascii="华文仿宋" w:hAnsi="华文仿宋" w:eastAsia="华文仿宋" w:cs="Times New Roman"/>
          <w:sz w:val="24"/>
          <w:szCs w:val="24"/>
        </w:rPr>
      </w:pPr>
      <w:r>
        <w:rPr>
          <w:rStyle w:val="11"/>
          <w:rFonts w:hint="default" w:ascii="华文仿宋" w:hAnsi="华文仿宋" w:eastAsia="华文仿宋" w:cs="华文仿宋"/>
          <w:b/>
          <w:bCs/>
          <w:kern w:val="2"/>
          <w:sz w:val="24"/>
          <w:szCs w:val="24"/>
          <w:u w:val="none"/>
          <w:lang w:eastAsia="zh-CN" w:bidi="ar"/>
        </w:rPr>
        <w:t xml:space="preserve">    </w:t>
      </w:r>
      <w:r>
        <w:rPr>
          <w:rStyle w:val="11"/>
          <w:rFonts w:hint="default" w:ascii="华文仿宋" w:hAnsi="华文仿宋" w:eastAsia="华文仿宋" w:cs="华文仿宋"/>
          <w:b/>
          <w:bCs/>
          <w:kern w:val="2"/>
          <w:sz w:val="24"/>
          <w:szCs w:val="24"/>
          <w:u w:val="single"/>
          <w:lang w:val="en-US" w:eastAsia="zh-CN" w:bidi="ar"/>
        </w:rPr>
        <w:t>直接选定</w:t>
      </w:r>
      <w:r>
        <w:rPr>
          <w:rStyle w:val="11"/>
          <w:rFonts w:hint="default" w:ascii="华文仿宋" w:hAnsi="华文仿宋" w:eastAsia="华文仿宋" w:cs="华文仿宋"/>
          <w:kern w:val="2"/>
          <w:sz w:val="24"/>
          <w:szCs w:val="24"/>
          <w:lang w:val="en-US" w:eastAsia="zh-CN" w:bidi="ar"/>
        </w:rPr>
        <w:t>是确定第二阶段成交供应商的主要方式，由采购人或者服务对象依据入围产品价格、质量以及服务便利性、用户评价等因素，从第一阶段入围供应商中直接选定。第一阶段入围供应商的协议价格（有量价关系折扣的，包括量价关系折扣）是采购人确定第二阶段成交供应商的最高限价。</w:t>
      </w:r>
    </w:p>
    <w:p w14:paraId="3B281E4D">
      <w:pPr>
        <w:numPr>
          <w:ilvl w:val="0"/>
          <w:numId w:val="0"/>
        </w:numPr>
        <w:spacing w:line="440" w:lineRule="exact"/>
        <w:ind w:firstLine="480" w:firstLineChars="200"/>
        <w:rPr>
          <w:rFonts w:hint="default" w:ascii="仿宋" w:hAnsi="仿宋" w:eastAsia="仿宋" w:cs="仿宋"/>
          <w:bCs/>
          <w:sz w:val="24"/>
          <w:szCs w:val="24"/>
          <w:lang w:val="en-US" w:eastAsia="zh-CN"/>
        </w:rPr>
      </w:pPr>
      <w:r>
        <w:rPr>
          <w:rStyle w:val="11"/>
          <w:rFonts w:hint="default" w:ascii="华文仿宋" w:hAnsi="华文仿宋" w:eastAsia="华文仿宋" w:cs="华文仿宋"/>
          <w:b/>
          <w:bCs/>
          <w:kern w:val="2"/>
          <w:sz w:val="24"/>
          <w:szCs w:val="24"/>
          <w:u w:val="single"/>
          <w:lang w:val="en-US" w:eastAsia="zh-CN" w:bidi="ar"/>
        </w:rPr>
        <w:t>二次竞价</w:t>
      </w:r>
      <w:r>
        <w:rPr>
          <w:rStyle w:val="11"/>
          <w:rFonts w:hint="default" w:ascii="华文仿宋" w:hAnsi="华文仿宋" w:eastAsia="华文仿宋" w:cs="华文仿宋"/>
          <w:kern w:val="2"/>
          <w:sz w:val="24"/>
          <w:szCs w:val="24"/>
          <w:lang w:val="en-US" w:eastAsia="zh-CN" w:bidi="ar"/>
        </w:rPr>
        <w:t>是指以框架协议约定的入围</w:t>
      </w:r>
      <w:r>
        <w:rPr>
          <w:rStyle w:val="11"/>
          <w:rFonts w:hint="eastAsia" w:ascii="华文仿宋" w:hAnsi="华文仿宋" w:eastAsia="华文仿宋" w:cs="华文仿宋"/>
          <w:kern w:val="2"/>
          <w:sz w:val="24"/>
          <w:szCs w:val="24"/>
          <w:lang w:val="en-US" w:eastAsia="zh-CN" w:bidi="ar"/>
        </w:rPr>
        <w:t>服务</w:t>
      </w:r>
      <w:r>
        <w:rPr>
          <w:rStyle w:val="11"/>
          <w:rFonts w:hint="default" w:ascii="华文仿宋" w:hAnsi="华文仿宋" w:eastAsia="华文仿宋" w:cs="华文仿宋"/>
          <w:kern w:val="2"/>
          <w:sz w:val="24"/>
          <w:szCs w:val="24"/>
          <w:lang w:val="en-US" w:eastAsia="zh-CN" w:bidi="ar"/>
        </w:rPr>
        <w:t>、采购合同文本等为依据，以协议价格为最高限价，采购人明确第二阶段竞价需求，从入围供应商中选择所有符合竞价需求的供应商参与二次竞价，确定报价最低的为成交供应商的方式。</w:t>
      </w:r>
    </w:p>
    <w:p w14:paraId="3B8E6334">
      <w:pPr>
        <w:numPr>
          <w:ilvl w:val="0"/>
          <w:numId w:val="0"/>
        </w:numPr>
        <w:spacing w:line="360" w:lineRule="auto"/>
        <w:ind w:firstLine="480" w:firstLineChars="200"/>
        <w:rPr>
          <w:rFonts w:hint="eastAsia" w:ascii="仿宋" w:hAnsi="仿宋" w:eastAsia="仿宋" w:cs="宋体"/>
          <w:b w:val="0"/>
          <w:bCs/>
          <w:color w:val="auto"/>
          <w:sz w:val="24"/>
          <w:szCs w:val="24"/>
          <w:lang w:val="en-US" w:eastAsia="zh-CN"/>
        </w:rPr>
      </w:pPr>
      <w:r>
        <w:rPr>
          <w:rFonts w:hint="eastAsia" w:ascii="仿宋" w:hAnsi="仿宋" w:eastAsia="仿宋" w:cs="宋体"/>
          <w:b w:val="0"/>
          <w:bCs/>
          <w:color w:val="auto"/>
          <w:sz w:val="24"/>
          <w:szCs w:val="24"/>
          <w:lang w:val="en-US" w:eastAsia="zh-CN"/>
        </w:rPr>
        <w:t>2.采购人在确定成交供应商后，双方应当按照框架协议中规定的“采购合同文本”格式签订电子采购合同，不得擅自改变框架协议约定的合同实质性条款。</w:t>
      </w:r>
    </w:p>
    <w:p w14:paraId="7B85B633"/>
    <w:p w14:paraId="5898EEF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4EA65D-0AAC-4A51-ABB9-CB2B8A4BE9D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5D58F31-A6D5-451A-829A-E91A9E58D839}"/>
  </w:font>
  <w:font w:name="Calibri Light">
    <w:panose1 w:val="020F0302020204030204"/>
    <w:charset w:val="00"/>
    <w:family w:val="auto"/>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embedRegular r:id="rId3" w:fontKey="{C70EE82B-FFD8-4E74-B7F6-A620912BCB95}"/>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4" w:fontKey="{9152340E-C5BD-4DD3-AAE4-561CA3F86B82}"/>
  </w:font>
  <w:font w:name="仿宋">
    <w:panose1 w:val="02010609060101010101"/>
    <w:charset w:val="86"/>
    <w:family w:val="auto"/>
    <w:pitch w:val="default"/>
    <w:sig w:usb0="800002BF" w:usb1="38CF7CFA" w:usb2="00000016" w:usb3="00000000" w:csb0="00040001" w:csb1="00000000"/>
    <w:embedRegular r:id="rId5" w:fontKey="{80C35B20-1F3D-4097-BFCA-84201336D5AA}"/>
  </w:font>
  <w:font w:name="楷体_GB2312">
    <w:altName w:val="楷体"/>
    <w:panose1 w:val="02010609030101010101"/>
    <w:charset w:val="86"/>
    <w:family w:val="auto"/>
    <w:pitch w:val="default"/>
    <w:sig w:usb0="00000000" w:usb1="00000000" w:usb2="00000000" w:usb3="00000000" w:csb0="00040000" w:csb1="00000000"/>
    <w:embedRegular r:id="rId6" w:fontKey="{84A21402-F3C0-470B-8B33-EF68C245F511}"/>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500D7"/>
    <w:multiLevelType w:val="singleLevel"/>
    <w:tmpl w:val="877500D7"/>
    <w:lvl w:ilvl="0" w:tentative="0">
      <w:start w:val="1"/>
      <w:numFmt w:val="chineseCounting"/>
      <w:suff w:val="nothing"/>
      <w:lvlText w:val="（%1）"/>
      <w:lvlJc w:val="left"/>
      <w:pPr>
        <w:ind w:left="-420" w:firstLine="420"/>
      </w:pPr>
      <w:rPr>
        <w:rFonts w:hint="eastAsia"/>
      </w:rPr>
    </w:lvl>
  </w:abstractNum>
  <w:abstractNum w:abstractNumId="1">
    <w:nsid w:val="0BED8650"/>
    <w:multiLevelType w:val="singleLevel"/>
    <w:tmpl w:val="0BED8650"/>
    <w:lvl w:ilvl="0" w:tentative="0">
      <w:start w:val="1"/>
      <w:numFmt w:val="chineseCounting"/>
      <w:suff w:val="nothing"/>
      <w:lvlText w:val="（%1）"/>
      <w:lvlJc w:val="left"/>
      <w:pPr>
        <w:ind w:left="0" w:firstLine="420"/>
      </w:pPr>
      <w:rPr>
        <w:rFonts w:hint="eastAsia"/>
      </w:rPr>
    </w:lvl>
  </w:abstractNum>
  <w:abstractNum w:abstractNumId="2">
    <w:nsid w:val="296A41AC"/>
    <w:multiLevelType w:val="singleLevel"/>
    <w:tmpl w:val="296A41AC"/>
    <w:lvl w:ilvl="0" w:tentative="0">
      <w:start w:val="1"/>
      <w:numFmt w:val="chineseCounting"/>
      <w:suff w:val="space"/>
      <w:lvlText w:val="第%1章"/>
      <w:lvlJc w:val="left"/>
      <w:pPr>
        <w:ind w:left="-495"/>
      </w:pPr>
      <w:rPr>
        <w:rFonts w:hint="eastAsia"/>
      </w:rPr>
    </w:lvl>
  </w:abstractNum>
  <w:abstractNum w:abstractNumId="3">
    <w:nsid w:val="6084D586"/>
    <w:multiLevelType w:val="singleLevel"/>
    <w:tmpl w:val="6084D586"/>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ODZkMTRhMjRiOWNhZjMwYzA0MjI3NWYxOGYxMmEifQ=="/>
    <w:docVar w:name="KSO_WPS_MARK_KEY" w:val="1c9f5960-d203-49d6-9b5b-c1f412d5d374"/>
  </w:docVars>
  <w:rsids>
    <w:rsidRoot w:val="09AA4953"/>
    <w:rsid w:val="00D36E75"/>
    <w:rsid w:val="09AA4953"/>
    <w:rsid w:val="17100542"/>
    <w:rsid w:val="197F5D40"/>
    <w:rsid w:val="1BB4522E"/>
    <w:rsid w:val="1F7C7F80"/>
    <w:rsid w:val="224F35D7"/>
    <w:rsid w:val="32EC3549"/>
    <w:rsid w:val="583333DD"/>
    <w:rsid w:val="5BF06649"/>
    <w:rsid w:val="6BE87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before="0" w:beforeAutospacing="0" w:afterAutospacing="0" w:line="240" w:lineRule="auto"/>
      <w:ind w:leftChars="200" w:firstLine="200" w:firstLineChars="200"/>
    </w:pPr>
    <w:rPr>
      <w:szCs w:val="24"/>
    </w:rPr>
  </w:style>
  <w:style w:type="paragraph" w:styleId="3">
    <w:name w:val="Body Text Indent"/>
    <w:basedOn w:val="1"/>
    <w:next w:val="2"/>
    <w:qFormat/>
    <w:uiPriority w:val="99"/>
    <w:pPr>
      <w:spacing w:before="100" w:beforeAutospacing="1" w:after="100" w:afterAutospacing="1" w:line="360" w:lineRule="auto"/>
      <w:ind w:left="420" w:firstLine="420"/>
    </w:pPr>
    <w:rPr>
      <w:sz w:val="24"/>
      <w:szCs w:val="24"/>
    </w:rPr>
  </w:style>
  <w:style w:type="paragraph" w:styleId="4">
    <w:name w:val="Plain Text"/>
    <w:basedOn w:val="1"/>
    <w:qFormat/>
    <w:uiPriority w:val="0"/>
    <w:rPr>
      <w:rFonts w:ascii="宋体" w:hAnsi="Courier New"/>
      <w:szCs w:val="21"/>
    </w:rPr>
  </w:style>
  <w:style w:type="paragraph" w:styleId="7">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Body text|2"/>
    <w:basedOn w:val="1"/>
    <w:qFormat/>
    <w:uiPriority w:val="0"/>
    <w:pPr>
      <w:spacing w:line="391" w:lineRule="auto"/>
      <w:ind w:firstLine="400"/>
    </w:pPr>
    <w:rPr>
      <w:rFonts w:ascii="宋体" w:hAnsi="宋体" w:eastAsia="宋体" w:cs="宋体"/>
      <w:sz w:val="30"/>
      <w:szCs w:val="30"/>
      <w:lang w:val="zh-TW" w:eastAsia="zh-TW" w:bidi="zh-TW"/>
    </w:rPr>
  </w:style>
  <w:style w:type="character" w:customStyle="1" w:styleId="11">
    <w:name w:val="15"/>
    <w:basedOn w:val="9"/>
    <w:qFormat/>
    <w:uiPriority w:val="0"/>
    <w:rPr>
      <w:rFonts w:hint="default" w:ascii="华文仿宋" w:hAnsi="华文仿宋" w:eastAsia="华文仿宋" w:cs="华文仿宋"/>
      <w:color w:val="000000"/>
      <w:sz w:val="28"/>
      <w:szCs w:val="28"/>
    </w:rPr>
  </w:style>
  <w:style w:type="character" w:customStyle="1" w:styleId="12">
    <w:name w:val="fontstyle01"/>
    <w:basedOn w:val="9"/>
    <w:qFormat/>
    <w:uiPriority w:val="0"/>
    <w:rPr>
      <w:rFonts w:ascii="仿宋_GB2312" w:eastAsia="仿宋_GB2312" w:cs="仿宋_GB2312"/>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9429</Words>
  <Characters>9744</Characters>
  <Lines>0</Lines>
  <Paragraphs>0</Paragraphs>
  <TotalTime>126</TotalTime>
  <ScaleCrop>false</ScaleCrop>
  <LinksUpToDate>false</LinksUpToDate>
  <CharactersWithSpaces>9803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2024-03-11T01:55:00Z</dcterms:created>
  <dc:creator>高钰婷</dc:creator>
  <cp:lastModifiedBy>WPS_1665193567</cp:lastModifiedBy>
  <cp:lastPrinted>2024-03-18T08:55:00Z</cp:lastPrinted>
  <dcterms:modified xsi:type="dcterms:W3CDTF">2024-07-09T02:30:05Z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C7ABA60F9B2643A6ADC777AC8B4249F1</vt:lpwstr>
  </property>
</Properties>
</file>