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679"/>
        </w:tabs>
        <w:spacing w:before="28"/>
        <w:ind w:left="0" w:right="41"/>
        <w:rPr>
          <w:rFonts w:hint="eastAsia" w:ascii="仿宋" w:hAnsi="仿宋" w:eastAsia="仿宋" w:cs="仿宋"/>
          <w:b/>
          <w:bCs/>
          <w:w w:val="100"/>
          <w:sz w:val="24"/>
          <w:szCs w:val="24"/>
          <w:highlight w:val="none"/>
        </w:rPr>
      </w:pPr>
      <w:r>
        <w:rPr>
          <w:rFonts w:hint="eastAsia" w:ascii="仿宋" w:hAnsi="仿宋" w:eastAsia="仿宋" w:cs="仿宋"/>
          <w:spacing w:val="-2"/>
          <w:sz w:val="24"/>
          <w:szCs w:val="24"/>
          <w:highlight w:val="none"/>
        </w:rPr>
        <w:t>第三</w:t>
      </w:r>
      <w:r>
        <w:rPr>
          <w:rFonts w:hint="eastAsia" w:ascii="仿宋" w:hAnsi="仿宋" w:eastAsia="仿宋" w:cs="仿宋"/>
          <w:spacing w:val="-10"/>
          <w:sz w:val="24"/>
          <w:szCs w:val="24"/>
          <w:highlight w:val="none"/>
        </w:rPr>
        <w:t>章</w:t>
      </w:r>
      <w:r>
        <w:rPr>
          <w:rFonts w:hint="eastAsia" w:ascii="仿宋" w:hAnsi="仿宋" w:eastAsia="仿宋" w:cs="仿宋"/>
          <w:sz w:val="24"/>
          <w:szCs w:val="24"/>
          <w:highlight w:val="none"/>
        </w:rPr>
        <w:tab/>
      </w:r>
      <w:bookmarkStart w:id="0" w:name="_bookmark14"/>
      <w:bookmarkEnd w:id="0"/>
      <w:bookmarkStart w:id="1" w:name="第三章  采购需求"/>
      <w:bookmarkEnd w:id="1"/>
      <w:r>
        <w:rPr>
          <w:rFonts w:hint="eastAsia" w:ascii="仿宋" w:hAnsi="仿宋" w:eastAsia="仿宋" w:cs="仿宋"/>
          <w:spacing w:val="-2"/>
          <w:sz w:val="24"/>
          <w:szCs w:val="24"/>
          <w:highlight w:val="none"/>
        </w:rPr>
        <w:t>采购需</w:t>
      </w:r>
      <w:r>
        <w:rPr>
          <w:rFonts w:hint="eastAsia" w:ascii="仿宋" w:hAnsi="仿宋" w:eastAsia="仿宋" w:cs="仿宋"/>
          <w:spacing w:val="-10"/>
          <w:sz w:val="24"/>
          <w:szCs w:val="24"/>
          <w:highlight w:val="none"/>
        </w:rPr>
        <w:t>求</w:t>
      </w:r>
      <w:bookmarkStart w:id="2" w:name="_Toc496882819"/>
    </w:p>
    <w:bookmarkEnd w:id="2"/>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24"/>
          <w:szCs w:val="24"/>
        </w:rPr>
      </w:pPr>
      <w:bookmarkStart w:id="3" w:name="_Toc29669"/>
    </w:p>
    <w:p>
      <w:pPr>
        <w:keepNext w:val="0"/>
        <w:keepLines w:val="0"/>
        <w:pageBreakBefore w:val="0"/>
        <w:kinsoku/>
        <w:wordWrap/>
        <w:overflowPunct/>
        <w:topLinePunct w:val="0"/>
        <w:autoSpaceDE w:val="0"/>
        <w:autoSpaceDN w:val="0"/>
        <w:bidi w:val="0"/>
        <w:adjustRightInd/>
        <w:snapToGrid/>
        <w:spacing w:before="0" w:line="560" w:lineRule="exact"/>
        <w:ind w:left="0" w:firstLine="480" w:firstLineChars="200"/>
        <w:textAlignment w:val="auto"/>
        <w:outlineLvl w:val="1"/>
        <w:rPr>
          <w:rFonts w:hint="eastAsia" w:ascii="仿宋" w:hAnsi="仿宋" w:eastAsia="仿宋" w:cs="仿宋"/>
          <w:b/>
          <w:bCs w:val="0"/>
          <w:sz w:val="24"/>
          <w:szCs w:val="24"/>
          <w:highlight w:val="none"/>
        </w:rPr>
      </w:pPr>
      <w:r>
        <w:rPr>
          <w:rFonts w:hint="eastAsia" w:ascii="仿宋" w:hAnsi="仿宋" w:eastAsia="仿宋" w:cs="仿宋"/>
          <w:b w:val="0"/>
          <w:bCs/>
          <w:sz w:val="24"/>
          <w:szCs w:val="24"/>
          <w:highlight w:val="none"/>
        </w:rPr>
        <w:t>一</w:t>
      </w:r>
      <w:r>
        <w:rPr>
          <w:rFonts w:hint="eastAsia" w:ascii="仿宋" w:hAnsi="仿宋" w:eastAsia="仿宋" w:cs="仿宋"/>
          <w:b/>
          <w:bCs w:val="0"/>
          <w:sz w:val="24"/>
          <w:szCs w:val="24"/>
          <w:highlight w:val="none"/>
        </w:rPr>
        <w:t>、项目概况及基本要求</w:t>
      </w:r>
      <w:bookmarkEnd w:id="3"/>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4" w:firstLineChars="200"/>
        <w:jc w:val="both"/>
        <w:textAlignment w:val="auto"/>
        <w:rPr>
          <w:rFonts w:hint="eastAsia" w:ascii="仿宋" w:hAnsi="仿宋" w:eastAsia="仿宋" w:cs="仿宋"/>
          <w:spacing w:val="-4"/>
          <w:sz w:val="24"/>
          <w:szCs w:val="24"/>
          <w:highlight w:val="red"/>
          <w:lang w:val="en-US" w:eastAsia="zh-CN"/>
        </w:rPr>
      </w:pPr>
      <w:r>
        <w:rPr>
          <w:rFonts w:hint="eastAsia" w:cs="仿宋"/>
          <w:spacing w:val="-4"/>
          <w:sz w:val="24"/>
          <w:szCs w:val="24"/>
          <w:highlight w:val="none"/>
          <w:lang w:val="en-US" w:eastAsia="zh-CN"/>
        </w:rPr>
        <w:t>1</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政府采购计划编号：420703-2023-00330</w:t>
      </w:r>
    </w:p>
    <w:p>
      <w:pPr>
        <w:keepNext w:val="0"/>
        <w:pageBreakBefore w:val="0"/>
        <w:widowControl w:val="0"/>
        <w:kinsoku/>
        <w:wordWrap/>
        <w:overflowPunct/>
        <w:topLinePunct w:val="0"/>
        <w:bidi w:val="0"/>
        <w:snapToGrid/>
        <w:spacing w:line="560" w:lineRule="exact"/>
        <w:ind w:firstLine="464" w:firstLineChars="200"/>
        <w:jc w:val="left"/>
        <w:textAlignment w:val="auto"/>
        <w:rPr>
          <w:rFonts w:hint="eastAsia" w:ascii="仿宋" w:hAnsi="仿宋" w:eastAsia="仿宋" w:cs="仿宋"/>
          <w:spacing w:val="-4"/>
          <w:sz w:val="24"/>
          <w:szCs w:val="24"/>
          <w:highlight w:val="none"/>
          <w:lang w:val="en-US" w:eastAsia="zh-CN" w:bidi="ar-SA"/>
        </w:rPr>
      </w:pPr>
      <w:r>
        <w:rPr>
          <w:rFonts w:hint="eastAsia" w:cs="仿宋"/>
          <w:spacing w:val="-4"/>
          <w:sz w:val="24"/>
          <w:szCs w:val="24"/>
          <w:highlight w:val="none"/>
          <w:lang w:val="en-US" w:eastAsia="zh-CN"/>
        </w:rPr>
        <w:t>2</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项目名称：</w:t>
      </w:r>
      <w:r>
        <w:rPr>
          <w:rFonts w:hint="eastAsia" w:ascii="仿宋" w:hAnsi="仿宋" w:eastAsia="仿宋" w:cs="仿宋"/>
          <w:spacing w:val="-4"/>
          <w:sz w:val="24"/>
          <w:szCs w:val="24"/>
          <w:highlight w:val="none"/>
          <w:lang w:val="en-US" w:eastAsia="zh-CN" w:bidi="ar-SA"/>
        </w:rPr>
        <w:tab/>
      </w:r>
      <w:r>
        <w:rPr>
          <w:rFonts w:hint="eastAsia" w:ascii="仿宋" w:hAnsi="仿宋" w:eastAsia="仿宋" w:cs="仿宋"/>
          <w:spacing w:val="-4"/>
          <w:sz w:val="24"/>
          <w:szCs w:val="24"/>
          <w:highlight w:val="none"/>
          <w:lang w:val="en-US" w:eastAsia="zh-CN" w:bidi="ar-SA"/>
        </w:rPr>
        <w:t>武汉新城与鄂黄黄快速道路系统纵—（S257葛店南站至樊家庄段改扩建工程）鄂州华容段工程跟踪审计服务</w:t>
      </w:r>
    </w:p>
    <w:p>
      <w:pPr>
        <w:pStyle w:val="4"/>
        <w:keepNext w:val="0"/>
        <w:keepLines w:val="0"/>
        <w:pageBreakBefore w:val="0"/>
        <w:kinsoku/>
        <w:wordWrap/>
        <w:overflowPunct/>
        <w:topLinePunct w:val="0"/>
        <w:autoSpaceDE w:val="0"/>
        <w:autoSpaceDN w:val="0"/>
        <w:bidi w:val="0"/>
        <w:adjustRightInd/>
        <w:snapToGrid/>
        <w:spacing w:before="0" w:line="560" w:lineRule="exact"/>
        <w:ind w:firstLine="464" w:firstLineChars="200"/>
        <w:jc w:val="both"/>
        <w:textAlignment w:val="auto"/>
        <w:rPr>
          <w:rFonts w:hint="eastAsia" w:ascii="仿宋" w:hAnsi="仿宋" w:eastAsia="仿宋" w:cs="仿宋"/>
          <w:spacing w:val="-4"/>
          <w:sz w:val="24"/>
          <w:szCs w:val="24"/>
          <w:highlight w:val="none"/>
        </w:rPr>
      </w:pPr>
      <w:r>
        <w:rPr>
          <w:rFonts w:hint="eastAsia" w:cs="仿宋"/>
          <w:spacing w:val="-4"/>
          <w:sz w:val="24"/>
          <w:szCs w:val="24"/>
          <w:highlight w:val="none"/>
          <w:lang w:val="en-US" w:eastAsia="zh-CN"/>
        </w:rPr>
        <w:t>3</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采购方式：</w:t>
      </w:r>
      <w:r>
        <w:rPr>
          <w:rFonts w:hint="eastAsia" w:ascii="仿宋" w:hAnsi="仿宋" w:eastAsia="仿宋" w:cs="仿宋"/>
          <w:spacing w:val="-4"/>
          <w:sz w:val="24"/>
          <w:szCs w:val="24"/>
          <w:highlight w:val="none"/>
          <w:lang w:eastAsia="zh-CN"/>
        </w:rPr>
        <w:t>竞争性磋商</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4" w:firstLineChars="200"/>
        <w:jc w:val="both"/>
        <w:textAlignment w:val="auto"/>
        <w:rPr>
          <w:rFonts w:hint="eastAsia" w:ascii="仿宋" w:hAnsi="仿宋" w:eastAsia="仿宋" w:cs="仿宋"/>
          <w:spacing w:val="-4"/>
          <w:sz w:val="24"/>
          <w:szCs w:val="24"/>
          <w:highlight w:val="none"/>
          <w:lang w:val="en-US" w:eastAsia="zh-CN"/>
        </w:rPr>
      </w:pPr>
      <w:r>
        <w:rPr>
          <w:rFonts w:hint="eastAsia" w:cs="仿宋"/>
          <w:spacing w:val="-4"/>
          <w:sz w:val="24"/>
          <w:szCs w:val="24"/>
          <w:highlight w:val="none"/>
          <w:lang w:val="en-US" w:eastAsia="zh-CN"/>
        </w:rPr>
        <w:t>4</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预算金额：</w:t>
      </w:r>
      <w:r>
        <w:rPr>
          <w:rFonts w:hint="eastAsia" w:cs="仿宋"/>
          <w:spacing w:val="-4"/>
          <w:sz w:val="24"/>
          <w:szCs w:val="24"/>
          <w:highlight w:val="none"/>
          <w:lang w:val="en-US" w:eastAsia="zh-CN"/>
        </w:rPr>
        <w:t>102.17</w:t>
      </w:r>
      <w:r>
        <w:rPr>
          <w:rFonts w:hint="eastAsia" w:ascii="仿宋" w:hAnsi="仿宋" w:eastAsia="仿宋" w:cs="仿宋"/>
          <w:spacing w:val="-4"/>
          <w:sz w:val="24"/>
          <w:szCs w:val="24"/>
          <w:highlight w:val="none"/>
          <w:lang w:val="en-US" w:eastAsia="zh-CN"/>
        </w:rPr>
        <w:t>万元</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4" w:firstLineChars="200"/>
        <w:jc w:val="both"/>
        <w:textAlignment w:val="auto"/>
        <w:rPr>
          <w:rFonts w:hint="eastAsia" w:ascii="仿宋" w:hAnsi="仿宋" w:eastAsia="仿宋" w:cs="仿宋"/>
          <w:spacing w:val="-4"/>
          <w:sz w:val="24"/>
          <w:szCs w:val="24"/>
          <w:highlight w:val="none"/>
          <w:lang w:val="en-US" w:eastAsia="zh-CN"/>
        </w:rPr>
      </w:pPr>
      <w:r>
        <w:rPr>
          <w:rFonts w:hint="eastAsia" w:cs="仿宋"/>
          <w:spacing w:val="-4"/>
          <w:sz w:val="24"/>
          <w:szCs w:val="24"/>
          <w:highlight w:val="none"/>
          <w:lang w:val="en-US" w:eastAsia="zh-CN"/>
        </w:rPr>
        <w:t>5</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最高限价：</w:t>
      </w:r>
      <w:r>
        <w:rPr>
          <w:rFonts w:hint="eastAsia" w:cs="仿宋"/>
          <w:spacing w:val="-4"/>
          <w:sz w:val="24"/>
          <w:szCs w:val="24"/>
          <w:highlight w:val="none"/>
          <w:lang w:val="en-US" w:eastAsia="zh-CN"/>
        </w:rPr>
        <w:t>102.17</w:t>
      </w:r>
      <w:r>
        <w:rPr>
          <w:rFonts w:hint="eastAsia" w:ascii="仿宋" w:hAnsi="仿宋" w:eastAsia="仿宋" w:cs="仿宋"/>
          <w:spacing w:val="-4"/>
          <w:sz w:val="24"/>
          <w:szCs w:val="24"/>
          <w:highlight w:val="none"/>
          <w:lang w:val="en-US" w:eastAsia="zh-CN"/>
        </w:rPr>
        <w:t>万元</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6" w:firstLineChars="200"/>
        <w:jc w:val="both"/>
        <w:textAlignment w:val="auto"/>
        <w:rPr>
          <w:rFonts w:hint="eastAsia" w:ascii="仿宋" w:hAnsi="仿宋" w:eastAsia="仿宋" w:cs="仿宋"/>
          <w:b/>
          <w:bCs/>
          <w:sz w:val="24"/>
          <w:szCs w:val="24"/>
        </w:rPr>
      </w:pPr>
      <w:r>
        <w:rPr>
          <w:rFonts w:hint="eastAsia" w:cs="仿宋"/>
          <w:b/>
          <w:bCs/>
          <w:spacing w:val="-4"/>
          <w:sz w:val="24"/>
          <w:szCs w:val="24"/>
          <w:highlight w:val="none"/>
          <w:lang w:val="en-US" w:eastAsia="zh-CN"/>
        </w:rPr>
        <w:t>二</w:t>
      </w:r>
      <w:r>
        <w:rPr>
          <w:rFonts w:hint="eastAsia" w:ascii="仿宋" w:hAnsi="仿宋" w:eastAsia="仿宋" w:cs="仿宋"/>
          <w:b/>
          <w:bCs/>
          <w:spacing w:val="-4"/>
          <w:sz w:val="24"/>
          <w:szCs w:val="24"/>
          <w:highlight w:val="none"/>
          <w:lang w:val="en-US" w:eastAsia="zh-CN"/>
        </w:rPr>
        <w:t>、</w:t>
      </w:r>
      <w:r>
        <w:rPr>
          <w:rFonts w:hint="eastAsia" w:ascii="仿宋" w:hAnsi="仿宋" w:eastAsia="仿宋" w:cs="仿宋"/>
          <w:b/>
          <w:bCs/>
          <w:spacing w:val="-4"/>
          <w:sz w:val="24"/>
          <w:szCs w:val="24"/>
          <w:highlight w:val="none"/>
        </w:rPr>
        <w:t>服务</w:t>
      </w:r>
      <w:r>
        <w:rPr>
          <w:rFonts w:hint="eastAsia" w:cs="仿宋"/>
          <w:b/>
          <w:bCs/>
          <w:spacing w:val="-4"/>
          <w:sz w:val="24"/>
          <w:szCs w:val="24"/>
          <w:highlight w:val="none"/>
          <w:lang w:eastAsia="zh-CN"/>
        </w:rPr>
        <w:t>目标</w:t>
      </w:r>
      <w:r>
        <w:rPr>
          <w:rFonts w:hint="eastAsia" w:ascii="仿宋" w:hAnsi="仿宋" w:eastAsia="仿宋" w:cs="仿宋"/>
          <w:b/>
          <w:bCs/>
          <w:sz w:val="24"/>
          <w:szCs w:val="24"/>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80" w:firstLineChars="200"/>
        <w:jc w:val="both"/>
        <w:textAlignment w:val="auto"/>
        <w:rPr>
          <w:rFonts w:hint="eastAsia" w:ascii="仿宋" w:hAnsi="仿宋" w:eastAsia="仿宋" w:cs="仿宋"/>
          <w:spacing w:val="-4"/>
          <w:sz w:val="24"/>
          <w:szCs w:val="24"/>
          <w:highlight w:val="none"/>
          <w:lang w:val="en-US" w:eastAsia="zh-CN"/>
        </w:rPr>
      </w:pPr>
      <w:r>
        <w:rPr>
          <w:rFonts w:hint="eastAsia" w:ascii="仿宋" w:hAnsi="仿宋" w:eastAsia="仿宋" w:cs="仿宋"/>
          <w:b w:val="0"/>
          <w:bCs/>
          <w:sz w:val="24"/>
          <w:szCs w:val="24"/>
          <w:lang w:val="en-US" w:eastAsia="zh-CN"/>
        </w:rPr>
        <w:t>1、履约期限：</w:t>
      </w:r>
      <w:r>
        <w:rPr>
          <w:rFonts w:hint="eastAsia" w:ascii="仿宋" w:hAnsi="仿宋" w:eastAsia="仿宋" w:cs="仿宋"/>
          <w:b w:val="0"/>
          <w:bCs/>
          <w:sz w:val="24"/>
          <w:szCs w:val="24"/>
        </w:rPr>
        <w:t>合同签订之日起</w:t>
      </w:r>
      <w:r>
        <w:rPr>
          <w:rFonts w:hint="eastAsia" w:ascii="仿宋" w:hAnsi="仿宋" w:eastAsia="仿宋" w:cs="仿宋"/>
          <w:b w:val="0"/>
          <w:bCs/>
          <w:sz w:val="24"/>
          <w:szCs w:val="24"/>
          <w:lang w:eastAsia="zh-CN"/>
        </w:rPr>
        <w:t>跟踪</w:t>
      </w:r>
      <w:r>
        <w:rPr>
          <w:rFonts w:hint="eastAsia" w:ascii="仿宋" w:hAnsi="仿宋" w:eastAsia="仿宋" w:cs="仿宋"/>
          <w:b w:val="0"/>
          <w:bCs/>
          <w:sz w:val="24"/>
          <w:szCs w:val="24"/>
        </w:rPr>
        <w:t>审计完成并出具完整审计报告，移</w:t>
      </w:r>
      <w:r>
        <w:rPr>
          <w:rFonts w:hint="eastAsia" w:ascii="仿宋" w:hAnsi="仿宋" w:eastAsia="仿宋" w:cs="仿宋"/>
          <w:spacing w:val="-4"/>
          <w:sz w:val="24"/>
          <w:szCs w:val="24"/>
          <w:highlight w:val="none"/>
          <w:lang w:val="en-US" w:eastAsia="zh-CN"/>
        </w:rPr>
        <w:t>交全部审计资料至采购人为止。</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4" w:firstLineChars="200"/>
        <w:jc w:val="both"/>
        <w:textAlignment w:val="auto"/>
        <w:rPr>
          <w:rFonts w:hint="eastAsia" w:ascii="仿宋" w:hAnsi="仿宋" w:eastAsia="仿宋" w:cs="仿宋"/>
          <w:bCs/>
          <w:sz w:val="24"/>
          <w:szCs w:val="24"/>
        </w:rPr>
      </w:pPr>
      <w:r>
        <w:rPr>
          <w:rFonts w:hint="eastAsia" w:ascii="仿宋" w:hAnsi="仿宋" w:eastAsia="仿宋" w:cs="仿宋"/>
          <w:spacing w:val="-4"/>
          <w:sz w:val="24"/>
          <w:szCs w:val="24"/>
          <w:highlight w:val="none"/>
          <w:lang w:val="en-US" w:eastAsia="zh-CN"/>
        </w:rPr>
        <w:t>2、</w:t>
      </w:r>
      <w:r>
        <w:rPr>
          <w:rFonts w:hint="eastAsia" w:ascii="仿宋" w:hAnsi="仿宋" w:eastAsia="仿宋" w:cs="仿宋"/>
          <w:bCs/>
          <w:sz w:val="24"/>
          <w:szCs w:val="24"/>
        </w:rPr>
        <w:t>项目建设工期：24个月</w:t>
      </w:r>
    </w:p>
    <w:p>
      <w:pPr>
        <w:pStyle w:val="8"/>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3.质量要求：</w:t>
      </w:r>
      <w:r>
        <w:rPr>
          <w:rFonts w:hint="eastAsia" w:ascii="仿宋" w:hAnsi="仿宋" w:eastAsia="仿宋" w:cs="仿宋"/>
          <w:sz w:val="24"/>
          <w:szCs w:val="24"/>
        </w:rPr>
        <w:t>符合现行《建设工程工程量清单计价规范》及相应计算规范、现行《建设工程造价咨询规范》的质量规定要求。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Cs/>
          <w:sz w:val="24"/>
          <w:szCs w:val="24"/>
        </w:rPr>
        <w:t>保密要求：</w:t>
      </w:r>
      <w:r>
        <w:rPr>
          <w:rFonts w:hint="eastAsia" w:ascii="仿宋" w:hAnsi="仿宋" w:eastAsia="仿宋" w:cs="仿宋"/>
          <w:sz w:val="24"/>
          <w:szCs w:val="24"/>
        </w:rPr>
        <w:t>对过程跟踪审计服务承担保密责任。</w:t>
      </w:r>
    </w:p>
    <w:p>
      <w:pPr>
        <w:pStyle w:val="8"/>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三、拟派项目负责人及驻场造价人员要求：</w:t>
      </w:r>
    </w:p>
    <w:p>
      <w:pPr>
        <w:pStyle w:val="8"/>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1.项目咨询团队人员要求：</w:t>
      </w:r>
    </w:p>
    <w:p>
      <w:pPr>
        <w:pStyle w:val="8"/>
        <w:adjustRightInd w:val="0"/>
        <w:snapToGrid w:val="0"/>
        <w:spacing w:line="360" w:lineRule="auto"/>
        <w:ind w:firstLine="480" w:firstLineChars="200"/>
        <w:rPr>
          <w:rFonts w:hint="eastAsia" w:ascii="仿宋" w:hAnsi="仿宋" w:eastAsia="仿宋" w:cs="仿宋"/>
          <w:bCs/>
          <w:color w:val="FF0000"/>
          <w:sz w:val="24"/>
          <w:szCs w:val="24"/>
        </w:rPr>
      </w:pPr>
      <w:r>
        <w:rPr>
          <w:rFonts w:hint="eastAsia" w:ascii="仿宋" w:hAnsi="仿宋" w:eastAsia="仿宋" w:cs="仿宋"/>
          <w:bCs/>
          <w:color w:val="FF0000"/>
          <w:sz w:val="24"/>
          <w:szCs w:val="24"/>
        </w:rPr>
        <w:t xml:space="preserve"> (1)中标人应按投标文件中的人员配置开展工作(提供咨询人员安排表)；原则上严格按照投标文件拟派的项目班子成员到岗，如因中标人原因或中标人相关咨询人员履责展职不到位，招标人要求变更更换的，须经招标人同意可以调换，否则委托方有权终止合同。</w:t>
      </w:r>
    </w:p>
    <w:p>
      <w:pPr>
        <w:pStyle w:val="8"/>
        <w:adjustRightInd w:val="0"/>
        <w:snapToGrid w:val="0"/>
        <w:spacing w:line="360" w:lineRule="auto"/>
        <w:ind w:firstLine="480" w:firstLineChars="200"/>
        <w:rPr>
          <w:rFonts w:hint="eastAsia" w:ascii="仿宋" w:hAnsi="仿宋" w:eastAsia="仿宋" w:cs="仿宋"/>
          <w:bCs/>
          <w:color w:val="FF0000"/>
          <w:sz w:val="24"/>
          <w:szCs w:val="24"/>
        </w:rPr>
      </w:pPr>
      <w:r>
        <w:rPr>
          <w:rFonts w:hint="eastAsia" w:ascii="仿宋" w:hAnsi="仿宋" w:eastAsia="仿宋" w:cs="仿宋"/>
          <w:bCs/>
          <w:color w:val="FF0000"/>
          <w:sz w:val="24"/>
          <w:szCs w:val="24"/>
        </w:rPr>
        <w:t>现场咨询部人员如须调入或调出，中标人需要提前14天以书面形式向委托方提出申请(申请中须注明调换人员名单及资格内容及法定代表人签字并加盖公章)，并提供不少于3位候选人供招标人选择，经委托方面试审核同意后方可进行人员调入或调出，如需调换，调换原则以所换人员不得低于在场人员的相关资格水平为准。招标人有权要求更换现场不称职咨询人员，中标人应按要求及时调换或增减咨询人员，以满足现场工作的要求，如中标人不能及时更换不称职的咨询人员，按拖延更换天数每人每天扣减服务费1000元，直至完成替换。</w:t>
      </w:r>
    </w:p>
    <w:p>
      <w:pPr>
        <w:pStyle w:val="8"/>
        <w:adjustRightInd w:val="0"/>
        <w:snapToGrid w:val="0"/>
        <w:spacing w:line="360" w:lineRule="auto"/>
        <w:ind w:firstLine="480" w:firstLineChars="200"/>
        <w:rPr>
          <w:rFonts w:hint="eastAsia" w:ascii="仿宋" w:hAnsi="仿宋" w:eastAsia="仿宋" w:cs="仿宋"/>
          <w:bCs/>
          <w:color w:val="FF0000"/>
          <w:sz w:val="24"/>
          <w:szCs w:val="24"/>
        </w:rPr>
      </w:pPr>
      <w:r>
        <w:rPr>
          <w:rFonts w:hint="eastAsia" w:ascii="仿宋" w:hAnsi="仿宋" w:eastAsia="仿宋" w:cs="仿宋"/>
          <w:bCs/>
          <w:color w:val="FF0000"/>
          <w:sz w:val="24"/>
          <w:szCs w:val="24"/>
        </w:rPr>
        <w:t>(2)项目咨询部主要管理人员应接受招标人监督及头像考勤，项目负责人每月出勤不得低于20天，少一天扣减服务费1000元；土建、安装咨询负责人员每月出勤不得少于20天且不得影响工程正常进展，否则按缺勤处罚，少一天扣减服务费500元。</w:t>
      </w:r>
    </w:p>
    <w:p>
      <w:pPr>
        <w:pStyle w:val="8"/>
        <w:adjustRightInd w:val="0"/>
        <w:snapToGrid w:val="0"/>
        <w:spacing w:line="360" w:lineRule="auto"/>
        <w:ind w:firstLine="480" w:firstLineChars="200"/>
        <w:rPr>
          <w:rFonts w:hint="eastAsia" w:ascii="仿宋" w:hAnsi="仿宋" w:eastAsia="仿宋" w:cs="仿宋"/>
          <w:bCs/>
          <w:color w:val="FF0000"/>
          <w:sz w:val="24"/>
          <w:szCs w:val="24"/>
        </w:rPr>
      </w:pPr>
      <w:r>
        <w:rPr>
          <w:rFonts w:hint="eastAsia" w:ascii="仿宋" w:hAnsi="仿宋" w:eastAsia="仿宋" w:cs="仿宋"/>
          <w:bCs/>
          <w:color w:val="FF0000"/>
          <w:sz w:val="24"/>
          <w:szCs w:val="24"/>
        </w:rPr>
        <w:t>(3)各专业咨询工程师在专业工程正常施工期间不在岗履职履责到位，以1000元/人的标准扣减服务费。</w:t>
      </w:r>
    </w:p>
    <w:p>
      <w:pPr>
        <w:snapToGrid w:val="0"/>
        <w:spacing w:line="360" w:lineRule="auto"/>
        <w:ind w:firstLine="484" w:firstLineChars="202"/>
        <w:rPr>
          <w:rFonts w:hint="eastAsia" w:ascii="仿宋" w:hAnsi="仿宋" w:eastAsia="仿宋" w:cs="仿宋"/>
          <w:bCs/>
          <w:sz w:val="24"/>
          <w:szCs w:val="24"/>
        </w:rPr>
      </w:pPr>
      <w:r>
        <w:rPr>
          <w:rFonts w:hint="eastAsia" w:ascii="仿宋" w:hAnsi="仿宋" w:eastAsia="仿宋" w:cs="仿宋"/>
          <w:bCs/>
          <w:color w:val="FF0000"/>
          <w:sz w:val="24"/>
          <w:szCs w:val="24"/>
        </w:rPr>
        <w:t>2.</w:t>
      </w:r>
      <w:r>
        <w:rPr>
          <w:rFonts w:hint="eastAsia" w:ascii="仿宋" w:hAnsi="仿宋" w:eastAsia="仿宋" w:cs="仿宋"/>
          <w:color w:val="FF0000"/>
          <w:sz w:val="24"/>
          <w:szCs w:val="24"/>
        </w:rPr>
        <w:t xml:space="preserve"> 组建施工阶段全过程工程造价控制咨询服务小组。</w:t>
      </w:r>
      <w:r>
        <w:rPr>
          <w:rFonts w:hint="eastAsia" w:ascii="仿宋" w:hAnsi="仿宋" w:eastAsia="仿宋" w:cs="仿宋"/>
          <w:bCs/>
          <w:color w:val="FF0000"/>
          <w:sz w:val="24"/>
          <w:szCs w:val="24"/>
        </w:rPr>
        <w:t>跟踪审计服务期内，</w:t>
      </w:r>
      <w:r>
        <w:rPr>
          <w:rFonts w:hint="eastAsia" w:ascii="仿宋" w:hAnsi="仿宋" w:eastAsia="仿宋" w:cs="仿宋"/>
          <w:color w:val="FF0000"/>
          <w:sz w:val="24"/>
          <w:szCs w:val="24"/>
        </w:rPr>
        <w:t>常驻现场人员不得少于2人，</w:t>
      </w:r>
      <w:r>
        <w:rPr>
          <w:rFonts w:hint="eastAsia" w:ascii="仿宋" w:hAnsi="仿宋" w:eastAsia="仿宋" w:cs="仿宋"/>
          <w:bCs/>
          <w:color w:val="FF0000"/>
          <w:sz w:val="24"/>
          <w:szCs w:val="24"/>
        </w:rPr>
        <w:t>并确保及时向业主提供需要了解的相关咨询信息。</w:t>
      </w:r>
      <w:r>
        <w:rPr>
          <w:rFonts w:hint="eastAsia" w:ascii="仿宋" w:hAnsi="仿宋" w:eastAsia="仿宋" w:cs="仿宋"/>
          <w:color w:val="FF0000"/>
          <w:sz w:val="24"/>
          <w:szCs w:val="24"/>
        </w:rPr>
        <w:t>项目团队成员5人以上，合理配备各类专业人员。</w:t>
      </w:r>
    </w:p>
    <w:p>
      <w:pPr>
        <w:pStyle w:val="8"/>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熟练掌握相关领域工程造价管理和成本控制流程，了解相关规定和政策，了解招标文件、合同相关事项；</w:t>
      </w:r>
    </w:p>
    <w:p>
      <w:pPr>
        <w:pStyle w:val="8"/>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4.</w:t>
      </w:r>
      <w:r>
        <w:rPr>
          <w:rFonts w:hint="eastAsia" w:ascii="仿宋" w:hAnsi="仿宋" w:eastAsia="仿宋" w:cs="仿宋"/>
          <w:sz w:val="24"/>
          <w:szCs w:val="24"/>
        </w:rPr>
        <w:t>工作严谨，善于沟通，具备良好的团队合作精神和职业操守；</w:t>
      </w:r>
    </w:p>
    <w:p>
      <w:pPr>
        <w:pStyle w:val="8"/>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5.</w:t>
      </w:r>
      <w:r>
        <w:rPr>
          <w:rFonts w:hint="eastAsia" w:ascii="仿宋" w:hAnsi="仿宋" w:eastAsia="仿宋" w:cs="仿宋"/>
          <w:sz w:val="24"/>
          <w:szCs w:val="24"/>
        </w:rPr>
        <w:t>身体健康，能胜任现场跟踪审计工作。</w:t>
      </w:r>
    </w:p>
    <w:p>
      <w:pPr>
        <w:pStyle w:val="8"/>
        <w:widowControl/>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四、招标范围、工作内容</w:t>
      </w:r>
    </w:p>
    <w:p>
      <w:pPr>
        <w:pStyle w:val="8"/>
        <w:spacing w:line="360" w:lineRule="auto"/>
        <w:ind w:firstLine="484" w:firstLineChars="202"/>
        <w:jc w:val="left"/>
        <w:rPr>
          <w:rFonts w:hint="eastAsia" w:ascii="仿宋" w:hAnsi="仿宋" w:eastAsia="仿宋" w:cs="仿宋"/>
          <w:sz w:val="24"/>
          <w:szCs w:val="24"/>
        </w:rPr>
      </w:pPr>
      <w:r>
        <w:rPr>
          <w:rFonts w:hint="eastAsia" w:ascii="仿宋" w:hAnsi="仿宋" w:eastAsia="仿宋" w:cs="仿宋"/>
          <w:sz w:val="24"/>
          <w:szCs w:val="24"/>
        </w:rPr>
        <w:t>本次招标范围为</w:t>
      </w:r>
      <w:r>
        <w:rPr>
          <w:rFonts w:hint="eastAsia" w:ascii="仿宋" w:hAnsi="仿宋" w:eastAsia="仿宋" w:cs="仿宋"/>
          <w:bCs/>
          <w:sz w:val="24"/>
          <w:szCs w:val="24"/>
        </w:rPr>
        <w:t>武汉新城与鄂黄黄快速道路系统纵—（S257葛店南站至樊家庄段改扩建工程）鄂州华容段工程跟踪审计服务</w:t>
      </w:r>
      <w:r>
        <w:rPr>
          <w:rFonts w:hint="eastAsia" w:ascii="仿宋" w:hAnsi="仿宋" w:eastAsia="仿宋" w:cs="仿宋"/>
          <w:sz w:val="24"/>
          <w:szCs w:val="24"/>
        </w:rPr>
        <w:t>。主要工作内容为：接受建设单位内审部门委托，跟踪建设项目进展，对建设项目实施过程进行驻场跟踪审计，完成甲方要求的工作内容。具体工作内容包括但不限于下列事项：</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1.制定施工阶段全过程工程造价控制咨询的实施细则，确定控制目标并进行动态调整；制定投资控制措施，确保咨询质量。根据国家相关法律法规、规范等开展工作；</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2.调研并熟悉相关生产要素市场价格，搜集、熟悉国家相关法规政策。提供人工、材料设备、机械、设备等方面的价格信息咨询，提供工程造价的控制与管理方面的其他技术咨询服务。</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3.审核施工图预算。</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4.见证现场签证内容并对报价进行审核。</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5.对工程变更提供造价方面的意见。</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6.项目进度款审核；</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7.索赔款审核；积极协助委托方提出反索赔；</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8.参与工程例会及工程施工阶段全过程投资控制有关的工作会议，配合委托方做好与承包方、监理方的协调工作；</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9.做好日常现场勘察和记录，特别是隐蔽工程、关键工序、关键节点等；及时向委托方反应跟踪审计中发现的问题，并建立问题台账；</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10.按要求定期对跟踪审计情况进行汇报；</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11.完成有利竣工结算的相关资料收集整理工作；</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12.委托方要求的其他与跟踪审计相关的工作；</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13.出具跟踪审计成果报告，配合结算审计单位完成工程竣工结算审计；</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14.按委托方要求提供跟踪审计过程中的相关电子资料或纸质资料。</w:t>
      </w:r>
    </w:p>
    <w:p>
      <w:pPr>
        <w:pStyle w:val="4"/>
        <w:keepNext w:val="0"/>
        <w:keepLines w:val="0"/>
        <w:pageBreakBefore w:val="0"/>
        <w:kinsoku/>
        <w:wordWrap/>
        <w:overflowPunct/>
        <w:topLinePunct w:val="0"/>
        <w:autoSpaceDE w:val="0"/>
        <w:autoSpaceDN w:val="0"/>
        <w:bidi w:val="0"/>
        <w:adjustRightInd/>
        <w:snapToGrid/>
        <w:spacing w:before="0" w:line="560" w:lineRule="exact"/>
        <w:ind w:left="0" w:firstLine="464" w:firstLineChars="200"/>
        <w:jc w:val="both"/>
        <w:textAlignment w:val="auto"/>
        <w:rPr>
          <w:rFonts w:hint="eastAsia" w:ascii="仿宋" w:hAnsi="仿宋" w:eastAsia="仿宋" w:cs="仿宋"/>
          <w:spacing w:val="-4"/>
          <w:sz w:val="24"/>
          <w:szCs w:val="24"/>
          <w:highlight w:val="none"/>
          <w:lang w:val="en-US" w:eastAsia="zh-CN"/>
        </w:rPr>
      </w:pPr>
      <w:r>
        <w:rPr>
          <w:rFonts w:hint="eastAsia" w:cs="仿宋"/>
          <w:spacing w:val="-4"/>
          <w:sz w:val="24"/>
          <w:szCs w:val="24"/>
          <w:highlight w:val="none"/>
          <w:lang w:val="en-US" w:eastAsia="zh-CN"/>
        </w:rPr>
        <w:t>五</w:t>
      </w:r>
      <w:r>
        <w:rPr>
          <w:rFonts w:hint="eastAsia" w:ascii="仿宋" w:hAnsi="仿宋" w:eastAsia="仿宋" w:cs="仿宋"/>
          <w:spacing w:val="-4"/>
          <w:sz w:val="24"/>
          <w:szCs w:val="24"/>
          <w:highlight w:val="none"/>
          <w:lang w:val="en-US" w:eastAsia="zh-CN"/>
        </w:rPr>
        <w:t>、合同付款方式：具体付款方式由中标人和采购人合同中协商约定。</w:t>
      </w:r>
    </w:p>
    <w:p>
      <w:pPr>
        <w:rPr>
          <w:rFonts w:hint="eastAsia" w:ascii="仿宋" w:hAnsi="仿宋" w:eastAsia="仿宋" w:cs="仿宋"/>
          <w:sz w:val="24"/>
          <w:szCs w:val="24"/>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mNhYjU5MTkyZjQ4YzViMWEzNWVmNzQ2OWRmMzgifQ=="/>
  </w:docVars>
  <w:rsids>
    <w:rsidRoot w:val="00000000"/>
    <w:rsid w:val="329774ED"/>
    <w:rsid w:val="40CE20D5"/>
    <w:rsid w:val="52A904EA"/>
    <w:rsid w:val="5A3C18AC"/>
    <w:rsid w:val="5EF50C8A"/>
    <w:rsid w:val="5F8954B3"/>
    <w:rsid w:val="6A9C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Calibri Light" w:hAnsi="Calibri Light"/>
      <w:b/>
      <w:bCs/>
      <w:sz w:val="32"/>
      <w:szCs w:val="32"/>
    </w:rPr>
  </w:style>
  <w:style w:type="paragraph" w:styleId="2">
    <w:name w:val="heading 4"/>
    <w:basedOn w:val="1"/>
    <w:next w:val="1"/>
    <w:semiHidden/>
    <w:unhideWhenUsed/>
    <w:qFormat/>
    <w:uiPriority w:val="0"/>
    <w:pPr>
      <w:keepNext/>
      <w:keepLines/>
      <w:spacing w:before="280" w:after="290" w:line="376" w:lineRule="auto"/>
      <w:jc w:val="center"/>
      <w:outlineLvl w:val="3"/>
    </w:pPr>
    <w:rPr>
      <w:rFonts w:ascii="Arial" w:hAnsi="Arial" w:eastAsia="宋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仿宋" w:hAnsi="仿宋" w:eastAsia="仿宋" w:cs="仿宋"/>
      <w:sz w:val="24"/>
      <w:szCs w:val="24"/>
      <w:lang w:val="en-US" w:eastAsia="zh-CN" w:bidi="ar-SA"/>
    </w:rPr>
  </w:style>
  <w:style w:type="paragraph" w:customStyle="1" w:styleId="7">
    <w:name w:val="Heading 4"/>
    <w:basedOn w:val="1"/>
    <w:qFormat/>
    <w:uiPriority w:val="1"/>
    <w:pPr>
      <w:spacing w:before="43"/>
      <w:ind w:left="117"/>
      <w:jc w:val="center"/>
      <w:outlineLvl w:val="4"/>
    </w:pPr>
    <w:rPr>
      <w:rFonts w:ascii="仿宋" w:hAnsi="仿宋" w:eastAsia="仿宋" w:cs="仿宋"/>
      <w:b/>
      <w:bCs/>
      <w:sz w:val="32"/>
      <w:szCs w:val="32"/>
      <w:lang w:val="en-US" w:eastAsia="zh-CN" w:bidi="ar-SA"/>
    </w:rPr>
  </w:style>
  <w:style w:type="paragraph" w:customStyle="1" w:styleId="8">
    <w:name w:val="正文_2"/>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356</Characters>
  <Lines>0</Lines>
  <Paragraphs>0</Paragraphs>
  <TotalTime>3</TotalTime>
  <ScaleCrop>false</ScaleCrop>
  <LinksUpToDate>false</LinksUpToDate>
  <CharactersWithSpaces>359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Administrator.XL-20201028CNXF</dc:creator>
  <cp:lastModifiedBy>高钰婷</cp:lastModifiedBy>
  <dcterms:modified xsi:type="dcterms:W3CDTF">2023-11-15T09:07:08Z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7D8D40BEA6DF4504B5C0B4F88B8E501B_13</vt:lpwstr>
  </property>
</Properties>
</file>