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4689" w14:textId="3B255443" w:rsidR="00C1131D" w:rsidRDefault="00C1131D" w:rsidP="00C1131D">
      <w:pPr>
        <w:spacing w:afterLines="100" w:after="312"/>
        <w:jc w:val="center"/>
        <w:outlineLvl w:val="0"/>
        <w:rPr>
          <w:rFonts w:ascii="华文新魏" w:eastAsia="华文新魏"/>
          <w:color w:val="000000"/>
          <w:kern w:val="0"/>
          <w:sz w:val="44"/>
          <w:szCs w:val="44"/>
        </w:rPr>
      </w:pPr>
      <w:bookmarkStart w:id="0" w:name="_Toc327"/>
      <w:r w:rsidRPr="00C1131D">
        <w:rPr>
          <w:rFonts w:ascii="华文新魏" w:eastAsia="华文新魏" w:hint="eastAsia"/>
          <w:color w:val="000000"/>
          <w:kern w:val="0"/>
          <w:sz w:val="44"/>
          <w:szCs w:val="44"/>
        </w:rPr>
        <w:t>培训</w:t>
      </w:r>
      <w:r w:rsidR="00000000" w:rsidRPr="00C1131D">
        <w:rPr>
          <w:rFonts w:ascii="华文新魏" w:eastAsia="华文新魏" w:hint="eastAsia"/>
          <w:color w:val="000000"/>
          <w:kern w:val="0"/>
          <w:sz w:val="44"/>
          <w:szCs w:val="44"/>
        </w:rPr>
        <w:t>课程</w:t>
      </w:r>
      <w:bookmarkEnd w:id="0"/>
      <w:r w:rsidRPr="00C1131D">
        <w:rPr>
          <w:rFonts w:ascii="华文新魏" w:eastAsia="华文新魏" w:hint="eastAsia"/>
          <w:color w:val="000000"/>
          <w:kern w:val="0"/>
          <w:sz w:val="44"/>
          <w:szCs w:val="44"/>
        </w:rPr>
        <w:t>方案</w:t>
      </w:r>
    </w:p>
    <w:p w14:paraId="6671DE6E" w14:textId="77777777" w:rsidR="00C1131D" w:rsidRPr="00C1131D" w:rsidRDefault="00C1131D" w:rsidP="00C1131D">
      <w:pPr>
        <w:spacing w:line="540" w:lineRule="exact"/>
        <w:rPr>
          <w:rFonts w:asciiTheme="minorEastAsia" w:eastAsiaTheme="minorEastAsia" w:hAnsiTheme="minorEastAsia" w:cs="仿宋_GB2312"/>
          <w:color w:val="000000"/>
          <w:sz w:val="28"/>
          <w:szCs w:val="28"/>
        </w:rPr>
      </w:pPr>
      <w:r w:rsidRPr="00C1131D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培训时间：</w:t>
      </w:r>
    </w:p>
    <w:p w14:paraId="396F11AE" w14:textId="77777777" w:rsidR="00C1131D" w:rsidRPr="00C1131D" w:rsidRDefault="00C1131D" w:rsidP="00C1131D">
      <w:pPr>
        <w:spacing w:line="540" w:lineRule="exact"/>
        <w:rPr>
          <w:rFonts w:asciiTheme="minorEastAsia" w:eastAsiaTheme="minorEastAsia" w:hAnsiTheme="minorEastAsia" w:cs="仿宋_GB2312"/>
          <w:color w:val="000000"/>
          <w:sz w:val="28"/>
          <w:szCs w:val="28"/>
        </w:rPr>
      </w:pPr>
      <w:r w:rsidRPr="00C1131D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第一期</w:t>
      </w:r>
      <w:r w:rsidRPr="00C1131D">
        <w:rPr>
          <w:rFonts w:asciiTheme="minorEastAsia" w:eastAsiaTheme="minorEastAsia" w:hAnsiTheme="minorEastAsia" w:cs="仿宋_GB2312"/>
          <w:color w:val="000000"/>
          <w:sz w:val="28"/>
          <w:szCs w:val="28"/>
        </w:rPr>
        <w:t>：</w:t>
      </w:r>
      <w:r w:rsidRPr="00C1131D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202</w:t>
      </w:r>
      <w:r w:rsidRPr="00C1131D">
        <w:rPr>
          <w:rFonts w:asciiTheme="minorEastAsia" w:eastAsiaTheme="minorEastAsia" w:hAnsiTheme="minorEastAsia" w:cs="仿宋_GB2312"/>
          <w:color w:val="000000"/>
          <w:sz w:val="28"/>
          <w:szCs w:val="28"/>
        </w:rPr>
        <w:t>3</w:t>
      </w:r>
      <w:r w:rsidRPr="00C1131D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年</w:t>
      </w:r>
      <w:r w:rsidRPr="00C1131D">
        <w:rPr>
          <w:rFonts w:asciiTheme="minorEastAsia" w:eastAsiaTheme="minorEastAsia" w:hAnsiTheme="minorEastAsia" w:cs="仿宋_GB2312"/>
          <w:color w:val="000000"/>
          <w:sz w:val="28"/>
          <w:szCs w:val="28"/>
        </w:rPr>
        <w:t>7</w:t>
      </w:r>
      <w:r w:rsidRPr="00C1131D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月</w:t>
      </w:r>
      <w:r w:rsidRPr="00C1131D">
        <w:rPr>
          <w:rFonts w:asciiTheme="minorEastAsia" w:eastAsiaTheme="minorEastAsia" w:hAnsiTheme="minorEastAsia" w:cs="仿宋_GB2312"/>
          <w:color w:val="000000"/>
          <w:sz w:val="28"/>
          <w:szCs w:val="28"/>
        </w:rPr>
        <w:t>15</w:t>
      </w:r>
      <w:r w:rsidRPr="00C1131D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日-</w:t>
      </w:r>
      <w:r w:rsidRPr="00C1131D">
        <w:rPr>
          <w:rFonts w:asciiTheme="minorEastAsia" w:eastAsiaTheme="minorEastAsia" w:hAnsiTheme="minorEastAsia" w:cs="仿宋_GB2312"/>
          <w:color w:val="000000"/>
          <w:sz w:val="28"/>
          <w:szCs w:val="28"/>
        </w:rPr>
        <w:t>7</w:t>
      </w:r>
      <w:r w:rsidRPr="00C1131D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月</w:t>
      </w:r>
      <w:r w:rsidRPr="00C1131D">
        <w:rPr>
          <w:rFonts w:asciiTheme="minorEastAsia" w:eastAsiaTheme="minorEastAsia" w:hAnsiTheme="minorEastAsia" w:cs="仿宋_GB2312"/>
          <w:color w:val="000000"/>
          <w:sz w:val="28"/>
          <w:szCs w:val="28"/>
        </w:rPr>
        <w:t>22</w:t>
      </w:r>
      <w:r w:rsidRPr="00C1131D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日</w:t>
      </w:r>
    </w:p>
    <w:p w14:paraId="75061361" w14:textId="77777777" w:rsidR="00C1131D" w:rsidRPr="00C1131D" w:rsidRDefault="00C1131D" w:rsidP="00C1131D">
      <w:pPr>
        <w:spacing w:line="540" w:lineRule="exact"/>
        <w:rPr>
          <w:rFonts w:asciiTheme="minorEastAsia" w:eastAsiaTheme="minorEastAsia" w:hAnsiTheme="minorEastAsia" w:cs="仿宋_GB2312"/>
          <w:color w:val="000000"/>
          <w:sz w:val="28"/>
          <w:szCs w:val="28"/>
        </w:rPr>
      </w:pPr>
      <w:r w:rsidRPr="00C1131D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第二期</w:t>
      </w:r>
      <w:r w:rsidRPr="00C1131D">
        <w:rPr>
          <w:rFonts w:asciiTheme="minorEastAsia" w:eastAsiaTheme="minorEastAsia" w:hAnsiTheme="minorEastAsia" w:cs="仿宋_GB2312"/>
          <w:color w:val="000000"/>
          <w:sz w:val="28"/>
          <w:szCs w:val="28"/>
        </w:rPr>
        <w:t>：</w:t>
      </w:r>
      <w:r w:rsidRPr="00C1131D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2023年7月30日</w:t>
      </w:r>
      <w:r w:rsidRPr="00C1131D">
        <w:rPr>
          <w:rFonts w:asciiTheme="minorEastAsia" w:eastAsiaTheme="minorEastAsia" w:hAnsiTheme="minorEastAsia" w:cs="仿宋_GB2312"/>
          <w:color w:val="000000"/>
          <w:sz w:val="28"/>
          <w:szCs w:val="28"/>
        </w:rPr>
        <w:t>-8</w:t>
      </w:r>
      <w:r w:rsidRPr="00C1131D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月6日</w:t>
      </w:r>
    </w:p>
    <w:p w14:paraId="052261E9" w14:textId="77777777" w:rsidR="00C1131D" w:rsidRPr="00C1131D" w:rsidRDefault="00C1131D" w:rsidP="00C1131D">
      <w:pPr>
        <w:spacing w:line="540" w:lineRule="exact"/>
        <w:rPr>
          <w:rFonts w:asciiTheme="minorEastAsia" w:eastAsiaTheme="minorEastAsia" w:hAnsiTheme="minorEastAsia" w:cs="仿宋_GB2312"/>
          <w:color w:val="000000"/>
          <w:sz w:val="28"/>
          <w:szCs w:val="28"/>
        </w:rPr>
      </w:pPr>
      <w:r w:rsidRPr="00C1131D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培训地点：湖北大学武昌</w:t>
      </w:r>
      <w:r w:rsidRPr="00C1131D">
        <w:rPr>
          <w:rFonts w:asciiTheme="minorEastAsia" w:eastAsiaTheme="minorEastAsia" w:hAnsiTheme="minorEastAsia" w:cs="仿宋_GB2312"/>
          <w:color w:val="000000"/>
          <w:sz w:val="28"/>
          <w:szCs w:val="28"/>
        </w:rPr>
        <w:t>主校区内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3"/>
        <w:gridCol w:w="1168"/>
        <w:gridCol w:w="959"/>
        <w:gridCol w:w="3452"/>
      </w:tblGrid>
      <w:tr w:rsidR="00C1131D" w:rsidRPr="00C1131D" w14:paraId="50B04D69" w14:textId="77777777" w:rsidTr="00C1131D">
        <w:trPr>
          <w:trHeight w:hRule="exact" w:val="897"/>
          <w:jc w:val="center"/>
        </w:trPr>
        <w:tc>
          <w:tcPr>
            <w:tcW w:w="3703" w:type="dxa"/>
            <w:vAlign w:val="center"/>
          </w:tcPr>
          <w:p w14:paraId="0F2C85B2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专题</w:t>
            </w:r>
          </w:p>
        </w:tc>
        <w:tc>
          <w:tcPr>
            <w:tcW w:w="1168" w:type="dxa"/>
            <w:vAlign w:val="center"/>
          </w:tcPr>
          <w:p w14:paraId="3A11BFD4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授课</w:t>
            </w:r>
          </w:p>
          <w:p w14:paraId="55F8EA67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专家</w:t>
            </w:r>
          </w:p>
        </w:tc>
        <w:tc>
          <w:tcPr>
            <w:tcW w:w="959" w:type="dxa"/>
            <w:vAlign w:val="center"/>
          </w:tcPr>
          <w:p w14:paraId="494548B6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3452" w:type="dxa"/>
            <w:vAlign w:val="center"/>
          </w:tcPr>
          <w:p w14:paraId="0203390D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单位</w:t>
            </w:r>
          </w:p>
        </w:tc>
      </w:tr>
      <w:tr w:rsidR="00C1131D" w:rsidRPr="00C1131D" w14:paraId="086A5805" w14:textId="77777777" w:rsidTr="00C1131D">
        <w:trPr>
          <w:trHeight w:val="817"/>
          <w:jc w:val="center"/>
        </w:trPr>
        <w:tc>
          <w:tcPr>
            <w:tcW w:w="3703" w:type="dxa"/>
            <w:vAlign w:val="center"/>
          </w:tcPr>
          <w:p w14:paraId="6480AE95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学员报到、</w:t>
            </w:r>
            <w:proofErr w:type="gramStart"/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领资料</w:t>
            </w:r>
            <w:proofErr w:type="gramEnd"/>
          </w:p>
        </w:tc>
        <w:tc>
          <w:tcPr>
            <w:tcW w:w="1168" w:type="dxa"/>
            <w:vAlign w:val="center"/>
          </w:tcPr>
          <w:p w14:paraId="37B678E0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项目组</w:t>
            </w:r>
          </w:p>
        </w:tc>
        <w:tc>
          <w:tcPr>
            <w:tcW w:w="959" w:type="dxa"/>
            <w:vAlign w:val="center"/>
          </w:tcPr>
          <w:p w14:paraId="6E47EEAE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/</w:t>
            </w:r>
          </w:p>
        </w:tc>
        <w:tc>
          <w:tcPr>
            <w:tcW w:w="3452" w:type="dxa"/>
            <w:vAlign w:val="center"/>
          </w:tcPr>
          <w:p w14:paraId="589C8A16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湖北大学继续教育学院</w:t>
            </w:r>
          </w:p>
        </w:tc>
      </w:tr>
      <w:tr w:rsidR="00C1131D" w:rsidRPr="00C1131D" w14:paraId="3BE557DA" w14:textId="77777777" w:rsidTr="00C1131D">
        <w:trPr>
          <w:trHeight w:val="652"/>
          <w:jc w:val="center"/>
        </w:trPr>
        <w:tc>
          <w:tcPr>
            <w:tcW w:w="3703" w:type="dxa"/>
            <w:vAlign w:val="center"/>
          </w:tcPr>
          <w:p w14:paraId="0151B6A3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儿童成长与家校共育</w:t>
            </w:r>
          </w:p>
        </w:tc>
        <w:tc>
          <w:tcPr>
            <w:tcW w:w="1168" w:type="dxa"/>
            <w:vAlign w:val="center"/>
          </w:tcPr>
          <w:p w14:paraId="36D83E2B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许汉平</w:t>
            </w:r>
          </w:p>
        </w:tc>
        <w:tc>
          <w:tcPr>
            <w:tcW w:w="959" w:type="dxa"/>
            <w:vAlign w:val="center"/>
          </w:tcPr>
          <w:p w14:paraId="20D5BEE2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小高</w:t>
            </w:r>
          </w:p>
        </w:tc>
        <w:tc>
          <w:tcPr>
            <w:tcW w:w="3452" w:type="dxa"/>
            <w:vAlign w:val="center"/>
          </w:tcPr>
          <w:p w14:paraId="43089913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武汉小学</w:t>
            </w:r>
          </w:p>
        </w:tc>
      </w:tr>
      <w:tr w:rsidR="00C1131D" w:rsidRPr="00C1131D" w14:paraId="4DA2866D" w14:textId="77777777" w:rsidTr="00C1131D">
        <w:trPr>
          <w:trHeight w:val="652"/>
          <w:jc w:val="center"/>
        </w:trPr>
        <w:tc>
          <w:tcPr>
            <w:tcW w:w="3703" w:type="dxa"/>
            <w:vAlign w:val="center"/>
          </w:tcPr>
          <w:p w14:paraId="70656DE7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做智慧教师</w:t>
            </w:r>
          </w:p>
        </w:tc>
        <w:tc>
          <w:tcPr>
            <w:tcW w:w="1168" w:type="dxa"/>
            <w:vAlign w:val="center"/>
          </w:tcPr>
          <w:p w14:paraId="7E363338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proofErr w:type="gramStart"/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耿喜玲</w:t>
            </w:r>
            <w:proofErr w:type="gramEnd"/>
          </w:p>
        </w:tc>
        <w:tc>
          <w:tcPr>
            <w:tcW w:w="959" w:type="dxa"/>
            <w:vAlign w:val="center"/>
          </w:tcPr>
          <w:p w14:paraId="0057F8BD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正高级</w:t>
            </w:r>
          </w:p>
        </w:tc>
        <w:tc>
          <w:tcPr>
            <w:tcW w:w="3452" w:type="dxa"/>
            <w:vAlign w:val="center"/>
          </w:tcPr>
          <w:p w14:paraId="49EE14D8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武昌实验中学</w:t>
            </w:r>
          </w:p>
        </w:tc>
      </w:tr>
      <w:tr w:rsidR="00C1131D" w:rsidRPr="00C1131D" w14:paraId="0FF7EF09" w14:textId="77777777" w:rsidTr="00C1131D">
        <w:trPr>
          <w:trHeight w:val="789"/>
          <w:jc w:val="center"/>
        </w:trPr>
        <w:tc>
          <w:tcPr>
            <w:tcW w:w="3703" w:type="dxa"/>
            <w:vAlign w:val="center"/>
          </w:tcPr>
          <w:p w14:paraId="66A21786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后双</w:t>
            </w:r>
            <w:proofErr w:type="gramStart"/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减背景</w:t>
            </w:r>
            <w:proofErr w:type="gramEnd"/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下班级育人共同体建设路径研究</w:t>
            </w:r>
          </w:p>
        </w:tc>
        <w:tc>
          <w:tcPr>
            <w:tcW w:w="1168" w:type="dxa"/>
            <w:vAlign w:val="center"/>
          </w:tcPr>
          <w:p w14:paraId="736D4DF0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黄华斌</w:t>
            </w:r>
          </w:p>
        </w:tc>
        <w:tc>
          <w:tcPr>
            <w:tcW w:w="959" w:type="dxa"/>
            <w:vAlign w:val="center"/>
          </w:tcPr>
          <w:p w14:paraId="4353DD5C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</w:p>
        </w:tc>
        <w:tc>
          <w:tcPr>
            <w:tcW w:w="3452" w:type="dxa"/>
            <w:vAlign w:val="center"/>
          </w:tcPr>
          <w:p w14:paraId="035FDEED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松滋实验小学</w:t>
            </w:r>
          </w:p>
        </w:tc>
      </w:tr>
      <w:tr w:rsidR="00C1131D" w:rsidRPr="00C1131D" w14:paraId="4FB66AD3" w14:textId="77777777" w:rsidTr="00C1131D">
        <w:trPr>
          <w:trHeight w:val="1059"/>
          <w:jc w:val="center"/>
        </w:trPr>
        <w:tc>
          <w:tcPr>
            <w:tcW w:w="3703" w:type="dxa"/>
            <w:vAlign w:val="center"/>
          </w:tcPr>
          <w:p w14:paraId="4FBD66B7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家庭教育下的青少年生涯发展必修课</w:t>
            </w:r>
          </w:p>
        </w:tc>
        <w:tc>
          <w:tcPr>
            <w:tcW w:w="1168" w:type="dxa"/>
            <w:vAlign w:val="center"/>
          </w:tcPr>
          <w:p w14:paraId="301A5DC3" w14:textId="77777777" w:rsidR="00C1131D" w:rsidRPr="00C1131D" w:rsidRDefault="00C1131D" w:rsidP="00C1131D">
            <w:pPr>
              <w:ind w:firstLineChars="100" w:firstLine="240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吴雪</w:t>
            </w:r>
          </w:p>
        </w:tc>
        <w:tc>
          <w:tcPr>
            <w:tcW w:w="959" w:type="dxa"/>
            <w:vAlign w:val="center"/>
          </w:tcPr>
          <w:p w14:paraId="7E8BCF2A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/</w:t>
            </w:r>
          </w:p>
        </w:tc>
        <w:tc>
          <w:tcPr>
            <w:tcW w:w="3452" w:type="dxa"/>
            <w:vAlign w:val="center"/>
          </w:tcPr>
          <w:p w14:paraId="5497697B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武汉市武昌区毕老师校园就业指导公益服务中心</w:t>
            </w:r>
          </w:p>
        </w:tc>
      </w:tr>
      <w:tr w:rsidR="00C1131D" w:rsidRPr="00C1131D" w14:paraId="5C386E5A" w14:textId="77777777" w:rsidTr="00C1131D">
        <w:trPr>
          <w:trHeight w:val="713"/>
          <w:jc w:val="center"/>
        </w:trPr>
        <w:tc>
          <w:tcPr>
            <w:tcW w:w="3703" w:type="dxa"/>
            <w:vAlign w:val="center"/>
          </w:tcPr>
          <w:p w14:paraId="0104C7EC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孩子成长教育的责任永远是家长</w:t>
            </w:r>
          </w:p>
        </w:tc>
        <w:tc>
          <w:tcPr>
            <w:tcW w:w="1168" w:type="dxa"/>
            <w:vAlign w:val="center"/>
          </w:tcPr>
          <w:p w14:paraId="2F7659D0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周运清</w:t>
            </w:r>
          </w:p>
        </w:tc>
        <w:tc>
          <w:tcPr>
            <w:tcW w:w="959" w:type="dxa"/>
            <w:vAlign w:val="center"/>
          </w:tcPr>
          <w:p w14:paraId="6A60596D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教授</w:t>
            </w:r>
          </w:p>
        </w:tc>
        <w:tc>
          <w:tcPr>
            <w:tcW w:w="3452" w:type="dxa"/>
            <w:vAlign w:val="center"/>
          </w:tcPr>
          <w:p w14:paraId="0D53A047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武汉大学社会学院</w:t>
            </w:r>
          </w:p>
        </w:tc>
      </w:tr>
      <w:tr w:rsidR="00C1131D" w:rsidRPr="00C1131D" w14:paraId="17EDD73B" w14:textId="77777777" w:rsidTr="00C1131D">
        <w:trPr>
          <w:trHeight w:val="713"/>
          <w:jc w:val="center"/>
        </w:trPr>
        <w:tc>
          <w:tcPr>
            <w:tcW w:w="3703" w:type="dxa"/>
            <w:vAlign w:val="center"/>
          </w:tcPr>
          <w:p w14:paraId="41DB2FF8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现场教学：参观辛亥革命博物院</w:t>
            </w:r>
          </w:p>
        </w:tc>
        <w:tc>
          <w:tcPr>
            <w:tcW w:w="1168" w:type="dxa"/>
            <w:vAlign w:val="center"/>
          </w:tcPr>
          <w:p w14:paraId="10CC13DD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项目组</w:t>
            </w:r>
          </w:p>
        </w:tc>
        <w:tc>
          <w:tcPr>
            <w:tcW w:w="959" w:type="dxa"/>
            <w:vAlign w:val="center"/>
          </w:tcPr>
          <w:p w14:paraId="0022D144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/</w:t>
            </w:r>
          </w:p>
        </w:tc>
        <w:tc>
          <w:tcPr>
            <w:tcW w:w="3452" w:type="dxa"/>
            <w:vAlign w:val="center"/>
          </w:tcPr>
          <w:p w14:paraId="52C2D839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湖北大学继续教育学院</w:t>
            </w:r>
          </w:p>
        </w:tc>
      </w:tr>
      <w:tr w:rsidR="00C1131D" w:rsidRPr="00C1131D" w14:paraId="6B05F135" w14:textId="77777777" w:rsidTr="00C1131D">
        <w:trPr>
          <w:trHeight w:val="713"/>
          <w:jc w:val="center"/>
        </w:trPr>
        <w:tc>
          <w:tcPr>
            <w:tcW w:w="3703" w:type="dxa"/>
            <w:vAlign w:val="center"/>
          </w:tcPr>
          <w:p w14:paraId="442916F2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中小学生常见异常行为与家校共育</w:t>
            </w:r>
          </w:p>
        </w:tc>
        <w:tc>
          <w:tcPr>
            <w:tcW w:w="1168" w:type="dxa"/>
            <w:vAlign w:val="center"/>
          </w:tcPr>
          <w:p w14:paraId="77621CCD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夏征</w:t>
            </w:r>
          </w:p>
        </w:tc>
        <w:tc>
          <w:tcPr>
            <w:tcW w:w="959" w:type="dxa"/>
            <w:vAlign w:val="center"/>
          </w:tcPr>
          <w:p w14:paraId="09F7CAFA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研究员</w:t>
            </w:r>
          </w:p>
        </w:tc>
        <w:tc>
          <w:tcPr>
            <w:tcW w:w="3452" w:type="dxa"/>
            <w:vAlign w:val="center"/>
          </w:tcPr>
          <w:p w14:paraId="02329EE2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湖北省家庭教育研究会</w:t>
            </w:r>
          </w:p>
        </w:tc>
      </w:tr>
      <w:tr w:rsidR="00C1131D" w:rsidRPr="00C1131D" w14:paraId="5EFB3682" w14:textId="77777777" w:rsidTr="00C1131D">
        <w:trPr>
          <w:trHeight w:val="713"/>
          <w:jc w:val="center"/>
        </w:trPr>
        <w:tc>
          <w:tcPr>
            <w:tcW w:w="3703" w:type="dxa"/>
            <w:vAlign w:val="center"/>
          </w:tcPr>
          <w:p w14:paraId="00CE888F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小组研讨</w:t>
            </w:r>
          </w:p>
        </w:tc>
        <w:tc>
          <w:tcPr>
            <w:tcW w:w="1168" w:type="dxa"/>
            <w:vAlign w:val="center"/>
          </w:tcPr>
          <w:p w14:paraId="0E597499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项目组</w:t>
            </w:r>
          </w:p>
        </w:tc>
        <w:tc>
          <w:tcPr>
            <w:tcW w:w="959" w:type="dxa"/>
            <w:vAlign w:val="center"/>
          </w:tcPr>
          <w:p w14:paraId="18DAD03A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/</w:t>
            </w:r>
          </w:p>
        </w:tc>
        <w:tc>
          <w:tcPr>
            <w:tcW w:w="3452" w:type="dxa"/>
            <w:vAlign w:val="center"/>
          </w:tcPr>
          <w:p w14:paraId="1D72FA5B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湖北大学继续教育学院</w:t>
            </w:r>
          </w:p>
        </w:tc>
      </w:tr>
      <w:tr w:rsidR="00C1131D" w:rsidRPr="00C1131D" w14:paraId="6EAE4320" w14:textId="77777777" w:rsidTr="00C1131D">
        <w:trPr>
          <w:trHeight w:val="713"/>
          <w:jc w:val="center"/>
        </w:trPr>
        <w:tc>
          <w:tcPr>
            <w:tcW w:w="3703" w:type="dxa"/>
            <w:vAlign w:val="center"/>
          </w:tcPr>
          <w:p w14:paraId="64C4EC06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沙龙论坛：家长学校建设分享会</w:t>
            </w:r>
          </w:p>
        </w:tc>
        <w:tc>
          <w:tcPr>
            <w:tcW w:w="1168" w:type="dxa"/>
            <w:vAlign w:val="center"/>
          </w:tcPr>
          <w:p w14:paraId="719FA0CE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团队</w:t>
            </w:r>
          </w:p>
        </w:tc>
        <w:tc>
          <w:tcPr>
            <w:tcW w:w="959" w:type="dxa"/>
            <w:vAlign w:val="center"/>
          </w:tcPr>
          <w:p w14:paraId="13E8FDFE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小高</w:t>
            </w:r>
          </w:p>
        </w:tc>
        <w:tc>
          <w:tcPr>
            <w:tcW w:w="3452" w:type="dxa"/>
            <w:vAlign w:val="center"/>
          </w:tcPr>
          <w:p w14:paraId="6C64B630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水果湖二小、武昌区徐东路小学</w:t>
            </w:r>
          </w:p>
        </w:tc>
      </w:tr>
      <w:tr w:rsidR="00C1131D" w:rsidRPr="00C1131D" w14:paraId="1FFCC69C" w14:textId="77777777" w:rsidTr="00C1131D">
        <w:trPr>
          <w:trHeight w:val="914"/>
          <w:jc w:val="center"/>
        </w:trPr>
        <w:tc>
          <w:tcPr>
            <w:tcW w:w="3703" w:type="dxa"/>
            <w:vAlign w:val="center"/>
          </w:tcPr>
          <w:p w14:paraId="5B3377D0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pacing w:val="-11"/>
                <w:sz w:val="24"/>
              </w:rPr>
              <w:t>基于青少年心理问题成因的亲子／师生关系重建</w:t>
            </w:r>
          </w:p>
        </w:tc>
        <w:tc>
          <w:tcPr>
            <w:tcW w:w="1168" w:type="dxa"/>
            <w:vAlign w:val="center"/>
          </w:tcPr>
          <w:p w14:paraId="60883ADB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刘亚</w:t>
            </w:r>
          </w:p>
        </w:tc>
        <w:tc>
          <w:tcPr>
            <w:tcW w:w="959" w:type="dxa"/>
            <w:vAlign w:val="center"/>
          </w:tcPr>
          <w:p w14:paraId="6546CAA8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副教授</w:t>
            </w:r>
          </w:p>
        </w:tc>
        <w:tc>
          <w:tcPr>
            <w:tcW w:w="3452" w:type="dxa"/>
            <w:vAlign w:val="center"/>
          </w:tcPr>
          <w:p w14:paraId="67D98CD5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华中师范大学心理学院</w:t>
            </w:r>
          </w:p>
        </w:tc>
      </w:tr>
      <w:tr w:rsidR="00C1131D" w:rsidRPr="00C1131D" w14:paraId="52F7BFA1" w14:textId="77777777" w:rsidTr="00C1131D">
        <w:trPr>
          <w:trHeight w:val="713"/>
          <w:jc w:val="center"/>
        </w:trPr>
        <w:tc>
          <w:tcPr>
            <w:tcW w:w="3703" w:type="dxa"/>
            <w:vAlign w:val="center"/>
          </w:tcPr>
          <w:p w14:paraId="42F876E0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性格类型理论在班级管理中的运用</w:t>
            </w:r>
          </w:p>
        </w:tc>
        <w:tc>
          <w:tcPr>
            <w:tcW w:w="1168" w:type="dxa"/>
            <w:vAlign w:val="center"/>
          </w:tcPr>
          <w:p w14:paraId="50F5428B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凌霄</w:t>
            </w:r>
          </w:p>
        </w:tc>
        <w:tc>
          <w:tcPr>
            <w:tcW w:w="959" w:type="dxa"/>
            <w:vAlign w:val="center"/>
          </w:tcPr>
          <w:p w14:paraId="6C06C029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中高</w:t>
            </w:r>
          </w:p>
        </w:tc>
        <w:tc>
          <w:tcPr>
            <w:tcW w:w="3452" w:type="dxa"/>
            <w:vAlign w:val="center"/>
          </w:tcPr>
          <w:p w14:paraId="5A06D3CA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武汉外国语学校</w:t>
            </w:r>
          </w:p>
        </w:tc>
      </w:tr>
      <w:tr w:rsidR="00C1131D" w:rsidRPr="00C1131D" w14:paraId="532DC9FA" w14:textId="77777777" w:rsidTr="00C1131D">
        <w:trPr>
          <w:trHeight w:val="713"/>
          <w:jc w:val="center"/>
        </w:trPr>
        <w:tc>
          <w:tcPr>
            <w:tcW w:w="3703" w:type="dxa"/>
            <w:vAlign w:val="center"/>
          </w:tcPr>
          <w:p w14:paraId="72A010DE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中小学团体辅导的设计与实施</w:t>
            </w:r>
          </w:p>
        </w:tc>
        <w:tc>
          <w:tcPr>
            <w:tcW w:w="1168" w:type="dxa"/>
            <w:vAlign w:val="center"/>
          </w:tcPr>
          <w:p w14:paraId="01B409C4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凌霄</w:t>
            </w:r>
          </w:p>
        </w:tc>
        <w:tc>
          <w:tcPr>
            <w:tcW w:w="959" w:type="dxa"/>
            <w:vAlign w:val="center"/>
          </w:tcPr>
          <w:p w14:paraId="72E75F9E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中高</w:t>
            </w:r>
          </w:p>
        </w:tc>
        <w:tc>
          <w:tcPr>
            <w:tcW w:w="3452" w:type="dxa"/>
            <w:vAlign w:val="center"/>
          </w:tcPr>
          <w:p w14:paraId="314C322E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武汉外国语学校</w:t>
            </w:r>
          </w:p>
        </w:tc>
      </w:tr>
      <w:tr w:rsidR="00C1131D" w:rsidRPr="00C1131D" w14:paraId="11FC36DA" w14:textId="77777777" w:rsidTr="00C1131D">
        <w:trPr>
          <w:trHeight w:val="713"/>
          <w:jc w:val="center"/>
        </w:trPr>
        <w:tc>
          <w:tcPr>
            <w:tcW w:w="3703" w:type="dxa"/>
            <w:vAlign w:val="center"/>
          </w:tcPr>
          <w:p w14:paraId="5A581BA0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家长：做孩子幸福成长的引路人</w:t>
            </w:r>
          </w:p>
        </w:tc>
        <w:tc>
          <w:tcPr>
            <w:tcW w:w="1168" w:type="dxa"/>
            <w:vAlign w:val="center"/>
          </w:tcPr>
          <w:p w14:paraId="0128A644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杨旭红</w:t>
            </w:r>
          </w:p>
        </w:tc>
        <w:tc>
          <w:tcPr>
            <w:tcW w:w="959" w:type="dxa"/>
            <w:vAlign w:val="center"/>
          </w:tcPr>
          <w:p w14:paraId="0F7F29B7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正高级</w:t>
            </w:r>
          </w:p>
        </w:tc>
        <w:tc>
          <w:tcPr>
            <w:tcW w:w="3452" w:type="dxa"/>
            <w:vAlign w:val="center"/>
          </w:tcPr>
          <w:p w14:paraId="1C700F00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重庆市南岸区教师进修学院</w:t>
            </w:r>
          </w:p>
        </w:tc>
      </w:tr>
      <w:tr w:rsidR="00C1131D" w:rsidRPr="00C1131D" w14:paraId="7D063B36" w14:textId="77777777" w:rsidTr="00C1131D">
        <w:trPr>
          <w:trHeight w:val="734"/>
          <w:jc w:val="center"/>
        </w:trPr>
        <w:tc>
          <w:tcPr>
            <w:tcW w:w="3703" w:type="dxa"/>
            <w:vAlign w:val="center"/>
          </w:tcPr>
          <w:p w14:paraId="2D59C04A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成果展示、结业仪式</w:t>
            </w:r>
          </w:p>
        </w:tc>
        <w:tc>
          <w:tcPr>
            <w:tcW w:w="1168" w:type="dxa"/>
            <w:vAlign w:val="center"/>
          </w:tcPr>
          <w:p w14:paraId="6732A076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项目组</w:t>
            </w:r>
          </w:p>
        </w:tc>
        <w:tc>
          <w:tcPr>
            <w:tcW w:w="959" w:type="dxa"/>
            <w:vAlign w:val="center"/>
          </w:tcPr>
          <w:p w14:paraId="1C42B6F2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/</w:t>
            </w:r>
          </w:p>
        </w:tc>
        <w:tc>
          <w:tcPr>
            <w:tcW w:w="3452" w:type="dxa"/>
            <w:vAlign w:val="center"/>
          </w:tcPr>
          <w:p w14:paraId="467120DB" w14:textId="77777777" w:rsidR="00C1131D" w:rsidRPr="00C1131D" w:rsidRDefault="00C1131D" w:rsidP="00C1131D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C1131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湖北大学继续教育学院</w:t>
            </w:r>
          </w:p>
        </w:tc>
      </w:tr>
    </w:tbl>
    <w:p w14:paraId="731A75A8" w14:textId="77777777" w:rsidR="00A963AE" w:rsidRDefault="00A963AE"/>
    <w:sectPr w:rsidR="00A96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A5NTkxOGUwMzQwODhiMjBjYTBhZTY4NjdhYjQyNjUifQ=="/>
  </w:docVars>
  <w:rsids>
    <w:rsidRoot w:val="7E584963"/>
    <w:rsid w:val="00A963AE"/>
    <w:rsid w:val="00C1131D"/>
    <w:rsid w:val="7E58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8789C"/>
  <w15:docId w15:val="{CE56513B-ABD1-4F40-A432-B91A5ECC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Administrator</cp:lastModifiedBy>
  <cp:revision>2</cp:revision>
  <dcterms:created xsi:type="dcterms:W3CDTF">2023-07-12T10:30:00Z</dcterms:created>
  <dcterms:modified xsi:type="dcterms:W3CDTF">2023-07-12T14:35:00Z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A024F8FB295949CF899E0DFA4A9EC758_11</vt:lpwstr>
  </property>
</Properties>
</file>