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8086">
      <w:pPr>
        <w:spacing w:line="360" w:lineRule="exact"/>
        <w:rPr>
          <w:rFonts w:ascii="楷体_GB2312" w:eastAsia="楷体_GB2312"/>
          <w:spacing w:val="-26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685800" cy="5943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D4B87F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0pt;height:46.8pt;width:54pt;z-index:251659264;mso-width-relative:page;mso-height-relative:page;" filled="f" stroked="f" coordsize="21600,21600" o:gfxdata="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CuBbDYAAAABwEAAA8A&#10;AAAAAAAAAQAgAAAAIgAAAGRycy9kb3ducmV2LnhtbFBLAQIUABQAAAAIAIdO4kDfheV9pQEAAE4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4D4B87F"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eastAsia="楷体_GB2312"/>
          <w:spacing w:val="-26"/>
          <w:sz w:val="28"/>
          <w:szCs w:val="28"/>
        </w:rPr>
        <w:t xml:space="preserve">区 </w:t>
      </w:r>
      <w:r>
        <w:rPr>
          <w:rFonts w:hint="eastAsia" w:ascii="楷体_GB2312" w:eastAsia="楷体_GB2312"/>
          <w:spacing w:val="-26"/>
          <w:sz w:val="28"/>
          <w:szCs w:val="28"/>
          <w:lang w:eastAsia="zh-CN"/>
        </w:rPr>
        <w:t>九</w:t>
      </w:r>
      <w:r>
        <w:rPr>
          <w:rFonts w:hint="eastAsia" w:ascii="楷体_GB2312" w:eastAsia="楷体_GB2312"/>
          <w:spacing w:val="-26"/>
          <w:sz w:val="28"/>
          <w:szCs w:val="28"/>
        </w:rPr>
        <w:t xml:space="preserve"> 届 人 大</w:t>
      </w:r>
    </w:p>
    <w:p w14:paraId="7305D74A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楷体_GB2312" w:eastAsia="楷体_GB2312"/>
          <w:spacing w:val="-10"/>
          <w:sz w:val="28"/>
          <w:szCs w:val="28"/>
          <w:lang w:eastAsia="zh-CN"/>
        </w:rPr>
        <w:t>五</w:t>
      </w:r>
      <w:r>
        <w:rPr>
          <w:rFonts w:hint="eastAsia" w:ascii="楷体_GB2312" w:eastAsia="楷体_GB2312"/>
          <w:spacing w:val="-10"/>
          <w:sz w:val="28"/>
          <w:szCs w:val="28"/>
        </w:rPr>
        <w:t>次会议文件</w:t>
      </w:r>
    </w:p>
    <w:p w14:paraId="213CAB6A">
      <w:pPr>
        <w:keepNext w:val="0"/>
        <w:keepLines w:val="0"/>
        <w:pageBreakBefore w:val="0"/>
        <w:widowControl w:val="0"/>
        <w:tabs>
          <w:tab w:val="left" w:pos="4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spacing w:val="0"/>
          <w:sz w:val="36"/>
          <w:szCs w:val="36"/>
        </w:rPr>
      </w:pPr>
    </w:p>
    <w:p w14:paraId="40D44890">
      <w:pPr>
        <w:keepNext w:val="0"/>
        <w:keepLines w:val="0"/>
        <w:pageBreakBefore w:val="0"/>
        <w:widowControl w:val="0"/>
        <w:tabs>
          <w:tab w:val="left" w:pos="4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spacing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pacing w:val="0"/>
          <w:sz w:val="36"/>
          <w:szCs w:val="36"/>
        </w:rPr>
        <w:t>华容区第九届人民代表大会第</w:t>
      </w:r>
      <w:r>
        <w:rPr>
          <w:rFonts w:hint="eastAsia" w:ascii="方正小标宋简体" w:eastAsia="方正小标宋简体" w:cs="Times New Roman"/>
          <w:b w:val="0"/>
          <w:bCs w:val="0"/>
          <w:spacing w:val="0"/>
          <w:sz w:val="36"/>
          <w:szCs w:val="36"/>
          <w:lang w:eastAsia="zh-CN"/>
        </w:rPr>
        <w:t>五</w:t>
      </w:r>
      <w:r>
        <w:rPr>
          <w:rFonts w:hint="eastAsia" w:ascii="方正小标宋简体" w:hAnsi="Calibri" w:eastAsia="方正小标宋简体" w:cs="Times New Roman"/>
          <w:b w:val="0"/>
          <w:bCs w:val="0"/>
          <w:spacing w:val="0"/>
          <w:sz w:val="36"/>
          <w:szCs w:val="36"/>
        </w:rPr>
        <w:t>次会议</w:t>
      </w:r>
    </w:p>
    <w:p w14:paraId="62062D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0"/>
          <w:sz w:val="36"/>
          <w:szCs w:val="36"/>
        </w:rPr>
        <w:t>关于华容区20</w:t>
      </w:r>
      <w:r>
        <w:rPr>
          <w:rFonts w:hint="eastAsia" w:ascii="方正小标宋简体" w:hAnsi="方正小标宋简体" w:eastAsia="方正小标宋简体"/>
          <w:spacing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/>
          <w:spacing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spacing w:val="0"/>
          <w:sz w:val="36"/>
          <w:szCs w:val="36"/>
          <w:lang w:val="en-US" w:eastAsia="zh-CN"/>
        </w:rPr>
        <w:t>财政预算执行情况和2026年</w:t>
      </w:r>
    </w:p>
    <w:p w14:paraId="4369908A">
      <w:pPr>
        <w:keepNext w:val="0"/>
        <w:keepLines w:val="0"/>
        <w:pageBreakBefore w:val="0"/>
        <w:widowControl w:val="0"/>
        <w:tabs>
          <w:tab w:val="left" w:pos="4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spacing w:val="0"/>
          <w:sz w:val="36"/>
          <w:szCs w:val="36"/>
          <w:lang w:val="en-US" w:eastAsia="zh-CN"/>
        </w:rPr>
        <w:t>财政预算</w:t>
      </w:r>
      <w:r>
        <w:rPr>
          <w:rFonts w:hint="eastAsia" w:ascii="方正小标宋简体" w:hAnsi="Calibri" w:eastAsia="方正小标宋简体" w:cs="Times New Roman"/>
          <w:b w:val="0"/>
          <w:bCs w:val="0"/>
          <w:spacing w:val="0"/>
          <w:sz w:val="36"/>
          <w:szCs w:val="36"/>
        </w:rPr>
        <w:t>的决议（草案）</w:t>
      </w:r>
    </w:p>
    <w:p w14:paraId="6720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（202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年12月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日区九届人大五次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会议主席团第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次会议通过，</w:t>
      </w:r>
    </w:p>
    <w:p w14:paraId="7B78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提请大会表决）</w:t>
      </w:r>
    </w:p>
    <w:p w14:paraId="5F5D3E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42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华容区第九届人民代表大会第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次会议审查了区财政局受区人民政府委托提出的《华容区202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年财政预算执行情况和202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年财政预算草案的报告》，同意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区人大财政经济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委员会的审查报告。会议决定，批准《华容区202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年财政预算执行情况和202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年财政预算草案的报告》，批准202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年区级财政预算。</w:t>
      </w:r>
    </w:p>
    <w:p w14:paraId="11905BB1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7B212109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107EA070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5B4CB7BC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5CABBFC6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55DA7DAB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5C2F511D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1A02B894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2F4BA068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497543AB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3986D14B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7F8B9EDC">
      <w:pPr>
        <w:spacing w:line="360" w:lineRule="exac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7D075465">
      <w:pPr>
        <w:spacing w:line="560" w:lineRule="exact"/>
        <w:rPr>
          <w:rFonts w:hint="eastAsia"/>
          <w:sz w:val="32"/>
          <w:u w:val="single"/>
        </w:rPr>
      </w:pPr>
      <w:r>
        <w:rPr>
          <w:rFonts w:hint="eastAsia" w:ascii="仿宋_GB2312" w:hAnsi="仿宋_GB2312" w:eastAsia="仿宋_GB2312" w:cs="Times New Roman"/>
          <w:sz w:val="32"/>
          <w:u w:val="single"/>
        </w:rPr>
        <w:t xml:space="preserve">                                                            </w:t>
      </w:r>
      <w:r>
        <w:rPr>
          <w:sz w:val="32"/>
          <w:u w:val="single"/>
        </w:rPr>
        <w:t xml:space="preserve">              </w:t>
      </w:r>
    </w:p>
    <w:p w14:paraId="0B8447D1">
      <w:pPr>
        <w:spacing w:line="560" w:lineRule="exact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  <w:u w:val="single"/>
        </w:rPr>
        <w:t>华容区</w:t>
      </w:r>
      <w:r>
        <w:rPr>
          <w:rFonts w:hint="eastAsia" w:ascii="仿宋_GB2312" w:hAnsi="仿宋_GB2312" w:eastAsia="仿宋_GB2312"/>
          <w:sz w:val="32"/>
          <w:u w:val="single"/>
          <w:lang w:eastAsia="zh-CN"/>
        </w:rPr>
        <w:t>九</w:t>
      </w:r>
      <w:r>
        <w:rPr>
          <w:rFonts w:hint="eastAsia" w:ascii="仿宋_GB2312" w:hAnsi="仿宋_GB2312" w:eastAsia="仿宋_GB2312"/>
          <w:sz w:val="32"/>
          <w:u w:val="single"/>
        </w:rPr>
        <w:t>届人大</w:t>
      </w:r>
      <w:r>
        <w:rPr>
          <w:rFonts w:hint="eastAsia" w:ascii="仿宋_GB2312" w:hAnsi="仿宋_GB2312" w:eastAsia="仿宋_GB2312"/>
          <w:sz w:val="32"/>
          <w:u w:val="single"/>
          <w:lang w:eastAsia="zh-CN"/>
        </w:rPr>
        <w:t>五</w:t>
      </w:r>
      <w:r>
        <w:rPr>
          <w:rFonts w:hint="eastAsia" w:ascii="仿宋_GB2312" w:hAnsi="仿宋_GB2312" w:eastAsia="仿宋_GB2312"/>
          <w:sz w:val="32"/>
          <w:u w:val="single"/>
        </w:rPr>
        <w:t xml:space="preserve">次会议秘书处   </w:t>
      </w:r>
      <w:r>
        <w:rPr>
          <w:u w:val="single"/>
        </w:rPr>
        <w:t xml:space="preserve">     </w:t>
      </w:r>
      <w:r>
        <w:rPr>
          <w:rFonts w:hint="eastAsia" w:ascii="仿宋_GB2312" w:hAnsi="仿宋_GB2312" w:eastAsia="仿宋_GB2312"/>
          <w:spacing w:val="-20"/>
          <w:sz w:val="32"/>
          <w:u w:val="single"/>
        </w:rPr>
        <w:t>20</w:t>
      </w:r>
      <w:r>
        <w:rPr>
          <w:rFonts w:hint="eastAsia" w:ascii="仿宋_GB2312" w:hAnsi="仿宋_GB2312" w:eastAsia="仿宋_GB2312"/>
          <w:spacing w:val="-20"/>
          <w:sz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/>
          <w:spacing w:val="-20"/>
          <w:sz w:val="32"/>
          <w:u w:val="single"/>
        </w:rPr>
        <w:t>年</w:t>
      </w:r>
      <w:r>
        <w:rPr>
          <w:rFonts w:hint="eastAsia" w:ascii="仿宋_GB2312" w:hAnsi="仿宋_GB2312" w:eastAsia="仿宋_GB2312"/>
          <w:spacing w:val="-20"/>
          <w:sz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/>
          <w:spacing w:val="-20"/>
          <w:sz w:val="32"/>
          <w:u w:val="single"/>
        </w:rPr>
        <w:t>月</w:t>
      </w:r>
      <w:r>
        <w:rPr>
          <w:rFonts w:hint="eastAsia" w:ascii="仿宋_GB2312" w:hAnsi="仿宋_GB2312" w:eastAsia="仿宋_GB2312"/>
          <w:spacing w:val="-20"/>
          <w:sz w:val="32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/>
          <w:spacing w:val="-20"/>
          <w:sz w:val="32"/>
          <w:u w:val="single"/>
        </w:rPr>
        <w:t>日印发</w:t>
      </w:r>
      <w:r>
        <w:rPr>
          <w:rFonts w:hint="eastAsia" w:ascii="仿宋_GB2312" w:hAnsi="仿宋_GB2312" w:eastAsia="仿宋_GB2312"/>
          <w:sz w:val="32"/>
          <w:u w:val="single"/>
        </w:rPr>
        <w:t xml:space="preserve"> </w:t>
      </w:r>
    </w:p>
    <w:p w14:paraId="50B4EA6A">
      <w:pPr>
        <w:spacing w:line="360" w:lineRule="exact"/>
        <w:rPr>
          <w:rFonts w:hint="eastAsia" w:ascii="仿宋_GB2312" w:hAnsi="仿宋_GB2312" w:eastAsia="仿宋_GB2312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t xml:space="preserve">                                                              </w:t>
      </w:r>
      <w:r>
        <w:rPr>
          <w:rFonts w:hint="eastAsia" w:ascii="仿宋_GB2312" w:hAnsi="仿宋_GB2312" w:eastAsia="仿宋_GB2312"/>
          <w:sz w:val="32"/>
        </w:rPr>
        <w:t>共印300份</w:t>
      </w:r>
    </w:p>
    <w:p w14:paraId="28703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332C4"/>
    <w:rsid w:val="2BC332C4"/>
    <w:rsid w:val="3B3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277</Characters>
  <Lines>0</Lines>
  <Paragraphs>0</Paragraphs>
  <TotalTime>0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2026-01-05T07:55:00Z</dcterms:created>
  <dc:creator>人大办</dc:creator>
  <cp:lastModifiedBy>企业用户_1008920056</cp:lastModifiedBy>
  <dcterms:modified xsi:type="dcterms:W3CDTF">2026-01-05T08:00:10Z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4C3A6AD9B0844E00982093C216EE808D_13</vt:lpwstr>
  </property>
  <property fmtid="{D5CDD505-2E9C-101B-9397-08002B2CF9AE}" pid="4" name="KSOTemplateDocerSaveRecord">
    <vt:lpwstr>eyJoZGlkIjoiODMxOTgzNjY1MmUyMTBhMjNhNmUxZDYwOTZhMGY0ZjMiLCJ1c2VySWQiOiIzMzcyNDAzODQifQ==</vt:lpwstr>
  </property>
</Properties>
</file>