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附件2-1</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机关后勤保障维护费</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鄂州市华容区财政局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eastAsia="zh-CN"/>
        </w:rPr>
        <w:t>：</w:t>
      </w:r>
      <w:r>
        <w:rPr>
          <w:rFonts w:hint="eastAsia" w:ascii="楷体_GB2312" w:hAnsi="仿宋" w:eastAsia="楷体_GB2312" w:cs="楷体_GB2312"/>
          <w:kern w:val="0"/>
          <w:sz w:val="28"/>
          <w:szCs w:val="28"/>
          <w:lang w:val="en-US" w:eastAsia="zh-CN"/>
        </w:rPr>
        <w:t>2024年4月16日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机关后勤保障维护费项目</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lang w:eastAsia="zh-CN"/>
              </w:rPr>
              <w:t>鄂州市华容区财政局</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华容区财政局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38</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38</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数量指标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聘用食堂、保安人员数量</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4名</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质量</w:t>
            </w:r>
            <w:r>
              <w:rPr>
                <w:rFonts w:hint="eastAsia" w:ascii="仿宋_GB2312" w:hAnsi="宋体" w:eastAsia="仿宋_GB2312" w:cs="Times New Roman"/>
                <w:kern w:val="0"/>
                <w:lang w:eastAsia="zh-CN"/>
              </w:rPr>
              <w:t>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食堂、保洁、安保工作抽检合格率</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default" w:ascii="Arial" w:hAnsi="Arial" w:eastAsia="仿宋_GB2312" w:cs="Arial"/>
                <w:kern w:val="0"/>
                <w:lang w:val="en-US" w:eastAsia="zh-CN"/>
              </w:rPr>
              <w:t>≥</w:t>
            </w: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default" w:ascii="Arial" w:hAnsi="Arial" w:eastAsia="仿宋_GB2312" w:cs="Arial"/>
                <w:kern w:val="0"/>
                <w:lang w:val="en-US" w:eastAsia="zh-CN"/>
              </w:rPr>
              <w:t>≥</w:t>
            </w: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机关日常维修（护）质量合格</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预算控制数</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kern w:val="0"/>
                <w:lang w:val="en-US" w:eastAsia="zh-CN"/>
              </w:rPr>
              <w:t>≤</w:t>
            </w:r>
            <w:r>
              <w:rPr>
                <w:rFonts w:hint="eastAsia" w:ascii="仿宋_GB2312" w:hAnsi="宋体" w:eastAsia="仿宋_GB2312" w:cs="Times New Roman"/>
                <w:kern w:val="0"/>
                <w:lang w:val="en-US" w:eastAsia="zh-CN"/>
              </w:rPr>
              <w:t>38万元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经济效益指标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维护局机关后勤正常运行</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生态效益指标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保障局机关环境整洁</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社会效益指标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提升机关服务形象</w:t>
            </w:r>
          </w:p>
        </w:tc>
        <w:tc>
          <w:tcPr>
            <w:tcW w:w="1478"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达标</w:t>
            </w:r>
          </w:p>
        </w:tc>
        <w:tc>
          <w:tcPr>
            <w:tcW w:w="153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服务对象满意度</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服务对象对办公区域管理服务满意度</w:t>
            </w:r>
          </w:p>
        </w:tc>
        <w:tc>
          <w:tcPr>
            <w:tcW w:w="1478"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kern w:val="0"/>
              </w:rPr>
              <w:t>≥</w:t>
            </w: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kern w:val="0"/>
              </w:rPr>
              <w:t>≥</w:t>
            </w: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rPr>
            </w:pP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加强对食堂的监管，提高饭菜质量，与食堂厨师沟通，反馈职工的意见，抓好整改。</w:t>
            </w:r>
            <w:bookmarkStart w:id="0" w:name="_GoBack"/>
            <w:bookmarkEnd w:id="0"/>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default" w:ascii="仿宋_GB2312" w:hAnsi="宋体" w:eastAsia="仿宋_GB2312" w:cs="仿宋_GB2312"/>
          <w:kern w:val="0"/>
          <w:lang w:val="en-US" w:eastAsia="zh-CN"/>
        </w:rPr>
      </w:pPr>
    </w:p>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附件2-2</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局机关运行和维护费</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lang w:eastAsia="zh-CN"/>
        </w:rPr>
        <w:t>鄂州市华容区财政局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局机关运行和维护费</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lang w:val="en-US" w:eastAsia="zh-CN"/>
              </w:rPr>
              <w:t>华容区</w:t>
            </w:r>
            <w:r>
              <w:rPr>
                <w:rFonts w:hint="eastAsia" w:ascii="仿宋_GB2312" w:hAnsi="宋体" w:eastAsia="仿宋_GB2312" w:cs="Times New Roman"/>
                <w:kern w:val="0"/>
                <w:lang w:eastAsia="zh-CN"/>
              </w:rPr>
              <w:t>财政局</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华容区</w:t>
            </w:r>
            <w:r>
              <w:rPr>
                <w:rFonts w:hint="eastAsia" w:ascii="仿宋_GB2312" w:hAnsi="宋体" w:eastAsia="仿宋_GB2312" w:cs="Times New Roman"/>
                <w:kern w:val="0"/>
                <w:lang w:eastAsia="zh-CN"/>
              </w:rPr>
              <w:t>财政局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13.42</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13.42</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数量指标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机关档案、党建、精神文明建设、党风廉政建设责任制考评达标率</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数量指标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委托业务服务工作完成率</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时效指标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工作完成时间</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全年</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成本指标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预算控制数</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kern w:val="0"/>
                <w:lang w:val="en-US" w:eastAsia="zh-CN"/>
              </w:rPr>
              <w:t>≤</w:t>
            </w:r>
            <w:r>
              <w:rPr>
                <w:rFonts w:hint="eastAsia" w:ascii="仿宋_GB2312" w:hAnsi="宋体" w:eastAsia="仿宋_GB2312" w:cs="Times New Roman"/>
                <w:kern w:val="0"/>
                <w:lang w:val="en-US" w:eastAsia="zh-CN"/>
              </w:rPr>
              <w:t>13.42万元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13.42万元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经济效益指标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更好的开展全局各项工作</w:t>
            </w:r>
          </w:p>
        </w:tc>
        <w:tc>
          <w:tcPr>
            <w:tcW w:w="1478"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达标</w:t>
            </w:r>
          </w:p>
        </w:tc>
        <w:tc>
          <w:tcPr>
            <w:tcW w:w="153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社会效益指标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保证财政日常工作正常运转</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达标</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服务对象满意度指标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职工满意度</w:t>
            </w:r>
          </w:p>
        </w:tc>
        <w:tc>
          <w:tcPr>
            <w:tcW w:w="1478"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kern w:val="0"/>
              </w:rPr>
              <w:t>≥</w:t>
            </w:r>
            <w:r>
              <w:rPr>
                <w:rFonts w:hint="eastAsia" w:ascii="仿宋_GB2312" w:hAnsi="宋体" w:eastAsia="仿宋_GB2312" w:cs="Times New Roman"/>
                <w:kern w:val="0"/>
                <w:lang w:val="en-US" w:eastAsia="zh-CN"/>
              </w:rPr>
              <w:t>90%</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kern w:val="0"/>
              </w:rPr>
              <w:t>≥</w:t>
            </w:r>
            <w:r>
              <w:rPr>
                <w:rFonts w:hint="eastAsia" w:ascii="仿宋_GB2312" w:hAnsi="宋体" w:eastAsia="仿宋_GB2312" w:cs="Times New Roman"/>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default" w:ascii="仿宋_GB2312" w:hAnsi="宋体" w:eastAsia="仿宋_GB2312" w:cs="仿宋_GB2312"/>
          <w:kern w:val="0"/>
          <w:lang w:val="en-US" w:eastAsia="zh-CN"/>
        </w:rPr>
      </w:pPr>
    </w:p>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pStyle w:val="2"/>
        <w:rPr>
          <w:rFonts w:hint="default" w:ascii="仿宋_GB2312" w:hAnsi="仿宋_GB2312" w:eastAsia="仿宋_GB2312" w:cs="仿宋_GB2312"/>
          <w:color w:val="auto"/>
          <w:sz w:val="32"/>
          <w:szCs w:val="32"/>
          <w:lang w:val="en-US" w:eastAsia="zh-CN"/>
        </w:rPr>
      </w:pPr>
    </w:p>
    <w:p>
      <w:pPr>
        <w:pStyle w:val="2"/>
        <w:rPr>
          <w:rFonts w:hint="default" w:ascii="仿宋_GB2312" w:hAnsi="仿宋_GB2312" w:eastAsia="仿宋_GB2312" w:cs="仿宋_GB2312"/>
          <w:color w:val="auto"/>
          <w:sz w:val="32"/>
          <w:szCs w:val="32"/>
          <w:lang w:val="en-US" w:eastAsia="zh-CN"/>
        </w:rPr>
      </w:pPr>
    </w:p>
    <w:p>
      <w:pPr>
        <w:pStyle w:val="2"/>
        <w:rPr>
          <w:rFonts w:hint="default" w:ascii="仿宋_GB2312" w:hAnsi="仿宋_GB2312" w:eastAsia="仿宋_GB2312" w:cs="仿宋_GB2312"/>
          <w:color w:val="auto"/>
          <w:sz w:val="32"/>
          <w:szCs w:val="32"/>
          <w:lang w:val="en-US" w:eastAsia="zh-CN"/>
        </w:rPr>
      </w:pPr>
    </w:p>
    <w:p>
      <w:pPr>
        <w:pStyle w:val="2"/>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附件2-3</w:t>
      </w:r>
    </w:p>
    <w:p>
      <w:pPr>
        <w:jc w:val="center"/>
        <w:rPr>
          <w:rFonts w:hint="eastAsia" w:ascii="方正小标宋简体" w:hAnsi="宋体" w:eastAsia="方正小标宋简体" w:cs="方正小标宋简体"/>
          <w:sz w:val="44"/>
          <w:szCs w:val="44"/>
          <w:lang w:eastAsia="zh-CN"/>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财政业务股室业务经费</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lang w:eastAsia="zh-CN"/>
        </w:rPr>
        <w:t>鄂州市华容区财政局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财政业务股室业务经费</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lang w:eastAsia="zh-CN"/>
              </w:rPr>
              <w:t>华容区财政局</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华容区财政局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153.34</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153.34</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数量指标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部门预、决算编制率</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数量指标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区直预算单位预决算公开数</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46家</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46家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组织完成</w:t>
            </w:r>
            <w:r>
              <w:rPr>
                <w:rFonts w:hint="eastAsia" w:ascii="仿宋_GB2312" w:hAnsi="宋体" w:eastAsia="仿宋_GB2312" w:cs="Times New Roman"/>
                <w:kern w:val="0"/>
                <w:lang w:val="en-US" w:eastAsia="zh-CN"/>
              </w:rPr>
              <w:t>2023年度监督检查任务</w:t>
            </w:r>
          </w:p>
        </w:tc>
        <w:tc>
          <w:tcPr>
            <w:tcW w:w="1478" w:type="dxa"/>
            <w:vAlign w:val="center"/>
          </w:tcPr>
          <w:p>
            <w:pPr>
              <w:widowControl/>
              <w:snapToGrid w:val="0"/>
              <w:jc w:val="center"/>
              <w:rPr>
                <w:rFonts w:hint="eastAsia" w:ascii="仿宋" w:hAnsi="仿宋" w:eastAsia="仿宋" w:cs="仿宋"/>
                <w:kern w:val="0"/>
                <w:lang w:eastAsia="zh-CN"/>
              </w:rPr>
            </w:pPr>
            <w:r>
              <w:rPr>
                <w:rFonts w:hint="eastAsia" w:ascii="仿宋" w:hAnsi="仿宋" w:eastAsia="仿宋" w:cs="仿宋"/>
                <w:kern w:val="0"/>
                <w:lang w:eastAsia="zh-CN"/>
              </w:rPr>
              <w:t>一年内</w:t>
            </w:r>
          </w:p>
        </w:tc>
        <w:tc>
          <w:tcPr>
            <w:tcW w:w="1536" w:type="dxa"/>
            <w:vAlign w:val="center"/>
          </w:tcPr>
          <w:p>
            <w:pPr>
              <w:widowControl/>
              <w:snapToGrid w:val="0"/>
              <w:jc w:val="center"/>
              <w:rPr>
                <w:rFonts w:hint="eastAsia" w:ascii="仿宋" w:hAnsi="仿宋" w:eastAsia="仿宋" w:cs="仿宋"/>
                <w:kern w:val="0"/>
                <w:lang w:val="en-US" w:eastAsia="zh-CN"/>
              </w:rPr>
            </w:pPr>
            <w:r>
              <w:rPr>
                <w:rFonts w:hint="eastAsia" w:ascii="仿宋" w:hAnsi="仿宋" w:eastAsia="仿宋" w:cs="仿宋"/>
                <w:kern w:val="0"/>
                <w:lang w:val="en-US" w:eastAsia="zh-CN"/>
              </w:rPr>
              <w:t>一年内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eastAsia="zh-CN"/>
              </w:rPr>
              <w:t>数量指标</w:t>
            </w:r>
          </w:p>
        </w:tc>
        <w:tc>
          <w:tcPr>
            <w:tcW w:w="3284" w:type="dxa"/>
            <w:gridSpan w:val="3"/>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eastAsia="zh-CN"/>
              </w:rPr>
              <w:t>预算单位预算项目绩效重点评审个数</w:t>
            </w:r>
          </w:p>
        </w:tc>
        <w:tc>
          <w:tcPr>
            <w:tcW w:w="1478" w:type="dxa"/>
            <w:vAlign w:val="center"/>
          </w:tcPr>
          <w:p>
            <w:pPr>
              <w:widowControl/>
              <w:snapToGrid w:val="0"/>
              <w:jc w:val="center"/>
              <w:rPr>
                <w:rFonts w:hint="eastAsia" w:ascii="仿宋" w:hAnsi="仿宋" w:eastAsia="仿宋" w:cs="仿宋"/>
                <w:kern w:val="0"/>
                <w:sz w:val="21"/>
                <w:szCs w:val="22"/>
                <w:lang w:val="en-US" w:eastAsia="zh-CN" w:bidi="ar-SA"/>
              </w:rPr>
            </w:pPr>
            <w:r>
              <w:rPr>
                <w:rFonts w:hint="eastAsia" w:ascii="仿宋" w:hAnsi="仿宋" w:eastAsia="仿宋" w:cs="仿宋"/>
                <w:kern w:val="0"/>
              </w:rPr>
              <w:t>≥</w:t>
            </w:r>
            <w:r>
              <w:rPr>
                <w:rFonts w:hint="eastAsia" w:ascii="仿宋_GB2312" w:hAnsi="宋体" w:eastAsia="仿宋_GB2312" w:cs="Times New Roman"/>
                <w:kern w:val="0"/>
                <w:lang w:val="en-US" w:eastAsia="zh-CN"/>
              </w:rPr>
              <w:t>10个</w:t>
            </w:r>
          </w:p>
        </w:tc>
        <w:tc>
          <w:tcPr>
            <w:tcW w:w="1536" w:type="dxa"/>
            <w:vAlign w:val="center"/>
          </w:tcPr>
          <w:p>
            <w:pPr>
              <w:widowControl/>
              <w:snapToGrid w:val="0"/>
              <w:jc w:val="center"/>
              <w:rPr>
                <w:rFonts w:hint="default" w:ascii="仿宋" w:hAnsi="仿宋" w:eastAsia="仿宋" w:cs="仿宋"/>
                <w:kern w:val="0"/>
                <w:sz w:val="21"/>
                <w:szCs w:val="22"/>
                <w:lang w:val="en-US" w:eastAsia="zh-CN" w:bidi="ar-SA"/>
              </w:rPr>
            </w:pPr>
            <w:r>
              <w:rPr>
                <w:rFonts w:hint="eastAsia" w:ascii="仿宋" w:hAnsi="仿宋" w:eastAsia="仿宋" w:cs="仿宋"/>
                <w:kern w:val="0"/>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eastAsia="zh-CN"/>
              </w:rPr>
              <w:t>一体化系统技术支持</w:t>
            </w:r>
          </w:p>
        </w:tc>
        <w:tc>
          <w:tcPr>
            <w:tcW w:w="1478" w:type="dxa"/>
            <w:vAlign w:val="center"/>
          </w:tcPr>
          <w:p>
            <w:pPr>
              <w:widowControl/>
              <w:snapToGrid w:val="0"/>
              <w:jc w:val="center"/>
              <w:rPr>
                <w:rFonts w:hint="eastAsia" w:ascii="仿宋" w:hAnsi="仿宋" w:eastAsia="仿宋" w:cs="仿宋"/>
                <w:kern w:val="0"/>
                <w:sz w:val="21"/>
                <w:szCs w:val="22"/>
                <w:lang w:val="en-US" w:eastAsia="zh-CN" w:bidi="ar-SA"/>
              </w:rPr>
            </w:pPr>
            <w:r>
              <w:rPr>
                <w:rFonts w:hint="eastAsia" w:ascii="仿宋" w:hAnsi="仿宋" w:eastAsia="仿宋" w:cs="仿宋"/>
                <w:kern w:val="0"/>
                <w:lang w:eastAsia="zh-CN"/>
              </w:rPr>
              <w:t>总体满意</w:t>
            </w:r>
          </w:p>
        </w:tc>
        <w:tc>
          <w:tcPr>
            <w:tcW w:w="1536" w:type="dxa"/>
            <w:vAlign w:val="center"/>
          </w:tcPr>
          <w:p>
            <w:pPr>
              <w:widowControl/>
              <w:snapToGrid w:val="0"/>
              <w:jc w:val="center"/>
              <w:rPr>
                <w:rFonts w:hint="eastAsia" w:ascii="仿宋" w:hAnsi="仿宋" w:eastAsia="仿宋" w:cs="仿宋"/>
                <w:kern w:val="0"/>
                <w:sz w:val="21"/>
                <w:szCs w:val="22"/>
                <w:lang w:val="en-US" w:eastAsia="zh-CN" w:bidi="ar-SA"/>
              </w:rPr>
            </w:pPr>
            <w:r>
              <w:rPr>
                <w:rFonts w:hint="eastAsia" w:ascii="仿宋" w:hAnsi="仿宋" w:eastAsia="仿宋" w:cs="仿宋"/>
                <w:kern w:val="0"/>
                <w:lang w:val="en-US" w:eastAsia="zh-CN"/>
              </w:rPr>
              <w:t>总体满意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社会效益指标</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人大投票通过率</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社会效益指标</w:t>
            </w:r>
          </w:p>
        </w:tc>
        <w:tc>
          <w:tcPr>
            <w:tcW w:w="3284" w:type="dxa"/>
            <w:gridSpan w:val="3"/>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eastAsia="zh-CN"/>
              </w:rPr>
              <w:t>采购中小企业</w:t>
            </w:r>
            <w:r>
              <w:rPr>
                <w:rFonts w:hint="eastAsia" w:ascii="仿宋_GB2312" w:hAnsi="宋体" w:eastAsia="仿宋_GB2312" w:cs="Times New Roman"/>
                <w:kern w:val="0"/>
                <w:lang w:val="en-US" w:eastAsia="zh-CN"/>
              </w:rPr>
              <w:t>产品占比率</w:t>
            </w:r>
          </w:p>
        </w:tc>
        <w:tc>
          <w:tcPr>
            <w:tcW w:w="1478"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 w:hAnsi="仿宋" w:eastAsia="仿宋" w:cs="仿宋"/>
                <w:kern w:val="0"/>
              </w:rPr>
              <w:t>≥</w:t>
            </w:r>
            <w:r>
              <w:rPr>
                <w:rFonts w:hint="eastAsia" w:ascii="仿宋_GB2312" w:hAnsi="宋体" w:eastAsia="仿宋_GB2312" w:cs="Times New Roman"/>
                <w:kern w:val="0"/>
                <w:lang w:val="en-US" w:eastAsia="zh-CN"/>
              </w:rPr>
              <w:t>90%</w:t>
            </w:r>
          </w:p>
        </w:tc>
        <w:tc>
          <w:tcPr>
            <w:tcW w:w="1536"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 w:hAnsi="仿宋" w:eastAsia="仿宋" w:cs="仿宋"/>
                <w:kern w:val="0"/>
              </w:rPr>
              <w:t>≥</w:t>
            </w:r>
            <w:r>
              <w:rPr>
                <w:rFonts w:hint="eastAsia" w:ascii="仿宋_GB2312" w:hAnsi="宋体" w:eastAsia="仿宋_GB2312" w:cs="Times New Roman"/>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经济效益指标</w:t>
            </w:r>
          </w:p>
        </w:tc>
        <w:tc>
          <w:tcPr>
            <w:tcW w:w="3284"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全区预算单位财经纪律明显好转</w:t>
            </w:r>
          </w:p>
        </w:tc>
        <w:tc>
          <w:tcPr>
            <w:tcW w:w="147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 w:hAnsi="仿宋" w:eastAsia="仿宋" w:cs="仿宋"/>
                <w:kern w:val="0"/>
                <w:lang w:eastAsia="zh-CN"/>
              </w:rPr>
              <w:t>达标</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 w:hAnsi="仿宋" w:eastAsia="仿宋" w:cs="仿宋"/>
                <w:kern w:val="0"/>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经济效益指标</w:t>
            </w:r>
          </w:p>
        </w:tc>
        <w:tc>
          <w:tcPr>
            <w:tcW w:w="3284" w:type="dxa"/>
            <w:gridSpan w:val="3"/>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eastAsia="zh-CN"/>
              </w:rPr>
              <w:t>纳入绩效管理项目覆盖率</w:t>
            </w:r>
          </w:p>
        </w:tc>
        <w:tc>
          <w:tcPr>
            <w:tcW w:w="1478"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履职效益满意度</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区直单位对财政工作满意度</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kern w:val="0"/>
              </w:rPr>
              <w:t>≥</w:t>
            </w: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kern w:val="0"/>
              </w:rPr>
              <w:t>≥</w:t>
            </w: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仿宋_GB2312"/>
                <w:color w:val="auto"/>
                <w:kern w:val="0"/>
                <w:highlight w:val="none"/>
                <w:lang w:eastAsia="zh-CN"/>
              </w:rPr>
              <w:t>因是综合型经费项目，预算经费编制不是非常细致，年初预算编制</w:t>
            </w:r>
            <w:r>
              <w:rPr>
                <w:rFonts w:hint="eastAsia" w:ascii="仿宋_GB2312" w:hAnsi="宋体" w:eastAsia="仿宋_GB2312" w:cs="仿宋_GB2312"/>
                <w:color w:val="auto"/>
                <w:kern w:val="0"/>
                <w:highlight w:val="none"/>
                <w:lang w:val="en-US" w:eastAsia="zh-CN"/>
              </w:rPr>
              <w:t>179.54万元，预算调整了26.2万元，实际执行153.34万元。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科学预料，准确把握，把预算编细编实</w:t>
            </w:r>
            <w:r>
              <w:rPr>
                <w:rFonts w:hint="eastAsia" w:ascii="仿宋_GB2312" w:hAnsi="宋体" w:eastAsia="仿宋_GB2312" w:cs="Times New Roman"/>
                <w:kern w:val="0"/>
                <w:lang w:val="en-US" w:eastAsia="zh-CN"/>
              </w:rPr>
              <w:t>。</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default" w:ascii="仿宋_GB2312" w:hAnsi="宋体" w:eastAsia="仿宋_GB2312" w:cs="仿宋_GB2312"/>
          <w:kern w:val="0"/>
          <w:lang w:val="en-US" w:eastAsia="zh-CN"/>
        </w:rPr>
      </w:pPr>
    </w:p>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ZjM1ZTU2MjViNzFhMDU5YThhMjFiNThlMzVjZjMifQ=="/>
  </w:docVars>
  <w:rsids>
    <w:rsidRoot w:val="0BCB52A3"/>
    <w:rsid w:val="06476E0A"/>
    <w:rsid w:val="07593D76"/>
    <w:rsid w:val="075C2C95"/>
    <w:rsid w:val="099F0C86"/>
    <w:rsid w:val="09E334F0"/>
    <w:rsid w:val="09FA2482"/>
    <w:rsid w:val="0AE506BD"/>
    <w:rsid w:val="0B446E12"/>
    <w:rsid w:val="0B9835D7"/>
    <w:rsid w:val="0BCB52A3"/>
    <w:rsid w:val="0C7B29E0"/>
    <w:rsid w:val="0E807E3A"/>
    <w:rsid w:val="11892CAD"/>
    <w:rsid w:val="11D566EF"/>
    <w:rsid w:val="12792963"/>
    <w:rsid w:val="12A7719E"/>
    <w:rsid w:val="141F76ED"/>
    <w:rsid w:val="14436C68"/>
    <w:rsid w:val="164F250D"/>
    <w:rsid w:val="165C118C"/>
    <w:rsid w:val="186969FA"/>
    <w:rsid w:val="19595E57"/>
    <w:rsid w:val="1DD83D2C"/>
    <w:rsid w:val="1EB41931"/>
    <w:rsid w:val="1F074C55"/>
    <w:rsid w:val="21912225"/>
    <w:rsid w:val="22EE7AF8"/>
    <w:rsid w:val="24D97E4C"/>
    <w:rsid w:val="27A632A5"/>
    <w:rsid w:val="285B4DA0"/>
    <w:rsid w:val="299E04CA"/>
    <w:rsid w:val="29C91813"/>
    <w:rsid w:val="2B54022C"/>
    <w:rsid w:val="2E8828A0"/>
    <w:rsid w:val="2F282EC5"/>
    <w:rsid w:val="30825B66"/>
    <w:rsid w:val="31206D75"/>
    <w:rsid w:val="31D5021B"/>
    <w:rsid w:val="327A5A60"/>
    <w:rsid w:val="34703046"/>
    <w:rsid w:val="34D44B47"/>
    <w:rsid w:val="36EE59D9"/>
    <w:rsid w:val="37A97611"/>
    <w:rsid w:val="38683A97"/>
    <w:rsid w:val="3A9E5B7E"/>
    <w:rsid w:val="3AF76BDA"/>
    <w:rsid w:val="3C6F3118"/>
    <w:rsid w:val="3F8A1C32"/>
    <w:rsid w:val="410F688E"/>
    <w:rsid w:val="4156502F"/>
    <w:rsid w:val="4651388E"/>
    <w:rsid w:val="46DA1A71"/>
    <w:rsid w:val="47EA3F9B"/>
    <w:rsid w:val="487321E2"/>
    <w:rsid w:val="48E62590"/>
    <w:rsid w:val="49620FF1"/>
    <w:rsid w:val="4A5B2D1F"/>
    <w:rsid w:val="4AA24845"/>
    <w:rsid w:val="4FEC63D6"/>
    <w:rsid w:val="511931FB"/>
    <w:rsid w:val="530458E8"/>
    <w:rsid w:val="54FC4FD5"/>
    <w:rsid w:val="5514798D"/>
    <w:rsid w:val="59400CDC"/>
    <w:rsid w:val="59DA5C5A"/>
    <w:rsid w:val="5BE2094C"/>
    <w:rsid w:val="5EAE6ED1"/>
    <w:rsid w:val="641A4C78"/>
    <w:rsid w:val="64B76675"/>
    <w:rsid w:val="65744A4C"/>
    <w:rsid w:val="665E3732"/>
    <w:rsid w:val="67B93687"/>
    <w:rsid w:val="680636EB"/>
    <w:rsid w:val="691767F8"/>
    <w:rsid w:val="6B39435F"/>
    <w:rsid w:val="6C495C13"/>
    <w:rsid w:val="6C9E35A5"/>
    <w:rsid w:val="725C4197"/>
    <w:rsid w:val="74A96497"/>
    <w:rsid w:val="74CF6CE6"/>
    <w:rsid w:val="766C3C49"/>
    <w:rsid w:val="77404E4A"/>
    <w:rsid w:val="7B23609A"/>
    <w:rsid w:val="7CF60710"/>
    <w:rsid w:val="7D522E94"/>
    <w:rsid w:val="7DB36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widowControl/>
      <w:autoSpaceDE w:val="0"/>
      <w:autoSpaceDN w:val="0"/>
      <w:adjustRightInd w:val="0"/>
      <w:spacing w:before="133"/>
      <w:ind w:firstLine="640" w:firstLineChars="200"/>
    </w:pPr>
    <w:rPr>
      <w:rFonts w:ascii="仿宋_GB2312" w:eastAsia="仿宋_GB2312"/>
      <w:kern w:val="0"/>
      <w:sz w:val="32"/>
      <w:szCs w:val="29"/>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2024-04-22T02:42:00Z</dcterms:created>
  <dc:creator>江顺</dc:creator>
  <cp:lastModifiedBy>江顺</cp:lastModifiedBy>
  <dcterms:modified xsi:type="dcterms:W3CDTF">2024-04-29T07:41:08Z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29717DD5A54E4BC2B13D54A9628A89E4_13</vt:lpwstr>
  </property>
</Properties>
</file>