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宋体" w:eastAsia="方正小标宋简体" w:cs="方正小标宋简体"/>
          <w:sz w:val="44"/>
          <w:szCs w:val="44"/>
          <w:lang w:eastAsia="zh-CN"/>
        </w:rPr>
        <w:t>部门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  <w:t>整体绩效自评表</w:t>
      </w:r>
    </w:p>
    <w:p>
      <w:pPr>
        <w:widowControl/>
        <w:jc w:val="left"/>
        <w:rPr>
          <w:rFonts w:hint="default" w:ascii="楷体_GB2312" w:hAnsi="黑体" w:eastAsia="楷体_GB2312" w:cs="Times New Roman"/>
          <w:kern w:val="0"/>
          <w:sz w:val="48"/>
          <w:szCs w:val="48"/>
          <w:lang w:val="en-US" w:eastAsia="zh-CN"/>
        </w:rPr>
      </w:pP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单位名称：中共鄂州市华容区纪律检查委员会</w:t>
      </w:r>
      <w:r>
        <w:rPr>
          <w:rFonts w:ascii="楷体_GB2312" w:hAnsi="仿宋" w:eastAsia="楷体_GB2312" w:cs="楷体_GB2312"/>
          <w:kern w:val="0"/>
          <w:sz w:val="28"/>
          <w:szCs w:val="28"/>
        </w:rPr>
        <w:t xml:space="preserve">                        </w:t>
      </w:r>
      <w:r>
        <w:rPr>
          <w:rFonts w:hint="eastAsia" w:ascii="楷体_GB2312" w:hAnsi="仿宋" w:eastAsia="楷体_GB2312" w:cs="楷体_GB2312"/>
          <w:kern w:val="0"/>
          <w:sz w:val="28"/>
          <w:szCs w:val="28"/>
        </w:rPr>
        <w:t>填报日期：</w:t>
      </w:r>
      <w:r>
        <w:rPr>
          <w:rFonts w:hint="eastAsia" w:ascii="楷体_GB2312" w:hAnsi="仿宋" w:eastAsia="楷体_GB2312" w:cs="楷体_GB2312"/>
          <w:kern w:val="0"/>
          <w:sz w:val="28"/>
          <w:szCs w:val="28"/>
          <w:lang w:val="en-US" w:eastAsia="zh-CN"/>
        </w:rPr>
        <w:t>2024年4月24日</w:t>
      </w:r>
    </w:p>
    <w:tbl>
      <w:tblPr>
        <w:tblStyle w:val="3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979"/>
        <w:gridCol w:w="1646"/>
        <w:gridCol w:w="1617"/>
        <w:gridCol w:w="573"/>
        <w:gridCol w:w="1245"/>
        <w:gridCol w:w="1200"/>
        <w:gridCol w:w="1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单位名称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中共鄂州市华容区纪律检查委员会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基本支出总额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 w:cs="Times New Roman"/>
                <w:kern w:val="0"/>
                <w:lang w:val="en-US" w:eastAsia="zh-CN"/>
              </w:rPr>
              <w:t>万元）</w:t>
            </w:r>
          </w:p>
        </w:tc>
        <w:tc>
          <w:tcPr>
            <w:tcW w:w="3263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1064.62</w:t>
            </w:r>
          </w:p>
        </w:tc>
        <w:tc>
          <w:tcPr>
            <w:tcW w:w="181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项目支出总额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Times New Roman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万元）</w:t>
            </w:r>
          </w:p>
        </w:tc>
        <w:tc>
          <w:tcPr>
            <w:tcW w:w="24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年度目标</w:t>
            </w:r>
          </w:p>
        </w:tc>
        <w:tc>
          <w:tcPr>
            <w:tcW w:w="7506" w:type="dxa"/>
            <w:gridSpan w:val="6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Times New Roman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  <w:t>在市纪委监委和区委的坚强领导下，华容区纪委监委坚持以习近平新时代中国特色社会主义思想为指导，认真贯彻党的十九大和十九届历次全会精神、党的二十大精神，严格落实中央纪委国家监委、省市纪委监委和区委工作部署，忠实履行党章和宪法赋予的职责，坚定不移正风肃纪反腐，推动纪检监察工作高质量发展，充分发挥监督保障执行、促进完善发展作用，为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全区经济社会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持续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保持良好的发展态势</w:t>
            </w:r>
            <w:r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  <w:t>提供坚强保障。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eastAsia="zh-CN"/>
              </w:rPr>
              <w:t>年度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绩效指标</w:t>
            </w:r>
          </w:p>
        </w:tc>
        <w:tc>
          <w:tcPr>
            <w:tcW w:w="9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指标分类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年初目标值（</w:t>
            </w:r>
            <w:r>
              <w:rPr>
                <w:rFonts w:ascii="仿宋_GB2312" w:hAnsi="宋体" w:eastAsia="仿宋_GB2312" w:cs="仿宋_GB2312"/>
                <w:kern w:val="0"/>
              </w:rPr>
              <w:t>A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实际完成值（</w:t>
            </w:r>
            <w:r>
              <w:rPr>
                <w:rFonts w:ascii="仿宋_GB2312" w:hAnsi="宋体" w:eastAsia="仿宋_GB2312" w:cs="仿宋_GB2312"/>
                <w:kern w:val="0"/>
              </w:rPr>
              <w:t>B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运行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公用经费控制率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在职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人员控制率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会议费控制率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“三公经费”变动率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中长期规划相符性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相符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相符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工作计划健全性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预算编制科学性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预算编制合理性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FF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立项规范性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预算调整率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≦10%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≦10%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预算执行率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84%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结转结余率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≦5%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≦5%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政府采购执行率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非税收入预算完成率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事前绩效评估完成率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FF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绩效目标合理性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FF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绩效监控开展率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绩效评价覆盖率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评价结果应用率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资产管理制度健全性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资产管理规范性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财务管理制度健全性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较健全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会计核算规范性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FF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FF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履职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加强区局队伍建设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加强区局队伍建设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落实到位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落实到位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学习政策　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学习政策　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落实到位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落实到位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事业稳步发展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事业稳步发展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扎实做好工作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工作完成率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效</w:t>
            </w: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val="en-US" w:eastAsia="zh-CN"/>
              </w:rPr>
              <w:t>益</w:t>
            </w: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社会效益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政策知晓率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≧90%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≧90%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保障社会和谐稳定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服务体制改革成效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FF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行政管理体制改革成效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FF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效果显著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业务学习与培训完成率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干部队伍体系建设规划情况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</w:pP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高学历、高层次人才储备率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信息化建设情况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FF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不涉及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5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</w:p>
        </w:tc>
        <w:tc>
          <w:tcPr>
            <w:tcW w:w="97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64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219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24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宋体" w:eastAsia="仿宋_GB2312" w:cs="Times New Roman"/>
                <w:color w:val="FF0000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highlight w:val="none"/>
                <w:lang w:eastAsia="zh-CN"/>
              </w:rPr>
              <w:t>基本型</w:t>
            </w:r>
          </w:p>
        </w:tc>
        <w:tc>
          <w:tcPr>
            <w:tcW w:w="120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12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</w:rPr>
              <w:t>≧</w:t>
            </w:r>
            <w:r>
              <w:rPr>
                <w:rFonts w:hint="eastAsia" w:ascii="仿宋" w:hAnsi="仿宋" w:eastAsia="仿宋" w:cs="仿宋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6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目标未完成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原因分析</w:t>
            </w:r>
          </w:p>
        </w:tc>
        <w:tc>
          <w:tcPr>
            <w:tcW w:w="7506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hint="default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highlight w:val="none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2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Times New Roman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改进措施及</w:t>
            </w:r>
          </w:p>
          <w:p>
            <w:pPr>
              <w:widowControl/>
              <w:snapToGrid w:val="0"/>
              <w:jc w:val="center"/>
              <w:rPr>
                <w:rFonts w:ascii="仿宋_GB2312" w:hAnsi="宋体" w:eastAsia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结果应用方案</w:t>
            </w:r>
          </w:p>
        </w:tc>
        <w:tc>
          <w:tcPr>
            <w:tcW w:w="7506" w:type="dxa"/>
            <w:gridSpan w:val="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ind w:firstLine="420" w:firstLineChars="200"/>
              <w:jc w:val="left"/>
              <w:rPr>
                <w:rFonts w:ascii="仿宋_GB2312" w:hAnsi="宋体" w:eastAsia="仿宋_GB2312" w:cs="仿宋_GB2312"/>
                <w:color w:val="auto"/>
                <w:kern w:val="0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kern w:val="0"/>
              </w:rPr>
              <w:t>严格按照</w:t>
            </w:r>
            <w:r>
              <w:rPr>
                <w:rFonts w:hint="eastAsia" w:ascii="仿宋_GB2312" w:hAnsi="宋体" w:eastAsia="仿宋_GB2312" w:cs="Times New Roman"/>
                <w:kern w:val="0"/>
                <w:lang w:eastAsia="zh-CN"/>
              </w:rPr>
              <w:t>区</w:t>
            </w:r>
            <w:r>
              <w:rPr>
                <w:rFonts w:hint="eastAsia" w:ascii="仿宋_GB2312" w:hAnsi="宋体" w:eastAsia="仿宋_GB2312" w:cs="Times New Roman"/>
                <w:kern w:val="0"/>
              </w:rPr>
              <w:t>财政部门的要求，根据定员定额的原则，在财政下达的控制范围内编制预算，同时，在日常财务收支中严加控制，按照预算科目对应的用途开支，确保预算按计划规范执行。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40477D-3B23-4CAF-AB15-C31A3C32F5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84204F3-7F5B-44BB-AB04-C36F0820EA44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9277A7E-C92C-4F02-94CA-CAA7D372AF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3B668B2-FE93-401E-8AAF-D18424390E7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E2513C1-98C0-4A8F-8002-AEA0627D05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mZTUyNDhiNDQyNzlmMzJkYzU1ODJmNTk1NjI1NzcifQ=="/>
    <w:docVar w:name="KSO_WPS_MARK_KEY" w:val="5c3cc908-573b-4cc9-a4ff-cbadbd96816b"/>
  </w:docVars>
  <w:rsids>
    <w:rsidRoot w:val="00000000"/>
    <w:rsid w:val="00412DA7"/>
    <w:rsid w:val="008B73C2"/>
    <w:rsid w:val="01B72A4C"/>
    <w:rsid w:val="01F66ABD"/>
    <w:rsid w:val="03634626"/>
    <w:rsid w:val="03773C2D"/>
    <w:rsid w:val="03EE3EEF"/>
    <w:rsid w:val="04D01847"/>
    <w:rsid w:val="05B80C59"/>
    <w:rsid w:val="060C4B01"/>
    <w:rsid w:val="060D2627"/>
    <w:rsid w:val="06AC0092"/>
    <w:rsid w:val="07840897"/>
    <w:rsid w:val="07A11279"/>
    <w:rsid w:val="085F360E"/>
    <w:rsid w:val="0963712E"/>
    <w:rsid w:val="09866978"/>
    <w:rsid w:val="09F537CA"/>
    <w:rsid w:val="0A6C0264"/>
    <w:rsid w:val="0AF142C5"/>
    <w:rsid w:val="0B6C7DF0"/>
    <w:rsid w:val="0BDC31C7"/>
    <w:rsid w:val="0C0B7609"/>
    <w:rsid w:val="0C2A7A8F"/>
    <w:rsid w:val="0C3B7EEE"/>
    <w:rsid w:val="0C6C00A7"/>
    <w:rsid w:val="0D501777"/>
    <w:rsid w:val="0DC65EDD"/>
    <w:rsid w:val="0DDE4FD5"/>
    <w:rsid w:val="0E947D89"/>
    <w:rsid w:val="0F3B0205"/>
    <w:rsid w:val="0FB549E1"/>
    <w:rsid w:val="10066A65"/>
    <w:rsid w:val="145F04F1"/>
    <w:rsid w:val="14943AA4"/>
    <w:rsid w:val="14F41582"/>
    <w:rsid w:val="157B57FF"/>
    <w:rsid w:val="15876E17"/>
    <w:rsid w:val="15977EAF"/>
    <w:rsid w:val="15E45152"/>
    <w:rsid w:val="16907088"/>
    <w:rsid w:val="16A2220E"/>
    <w:rsid w:val="16AB5C70"/>
    <w:rsid w:val="175C51BC"/>
    <w:rsid w:val="185D2F9A"/>
    <w:rsid w:val="18A706B9"/>
    <w:rsid w:val="1A3B555D"/>
    <w:rsid w:val="1AA665D9"/>
    <w:rsid w:val="1ADE4866"/>
    <w:rsid w:val="1AF80A52"/>
    <w:rsid w:val="1C9E24D3"/>
    <w:rsid w:val="1CF540E9"/>
    <w:rsid w:val="1DB25B36"/>
    <w:rsid w:val="1FBE4E54"/>
    <w:rsid w:val="20937EA1"/>
    <w:rsid w:val="20B56A8F"/>
    <w:rsid w:val="21501B0F"/>
    <w:rsid w:val="21CD354E"/>
    <w:rsid w:val="21EA09A9"/>
    <w:rsid w:val="247578BD"/>
    <w:rsid w:val="249152E3"/>
    <w:rsid w:val="24E0742D"/>
    <w:rsid w:val="24E94533"/>
    <w:rsid w:val="24F84776"/>
    <w:rsid w:val="25B34B41"/>
    <w:rsid w:val="25FC0296"/>
    <w:rsid w:val="265C0D35"/>
    <w:rsid w:val="267A740D"/>
    <w:rsid w:val="27893DAB"/>
    <w:rsid w:val="27EC2A9F"/>
    <w:rsid w:val="285717B4"/>
    <w:rsid w:val="28926C90"/>
    <w:rsid w:val="28D728F5"/>
    <w:rsid w:val="29053906"/>
    <w:rsid w:val="29470940"/>
    <w:rsid w:val="2A17569E"/>
    <w:rsid w:val="2AAB5086"/>
    <w:rsid w:val="2AE17A5A"/>
    <w:rsid w:val="2AFB0085"/>
    <w:rsid w:val="2B807273"/>
    <w:rsid w:val="2CDC497D"/>
    <w:rsid w:val="2DEA131C"/>
    <w:rsid w:val="2DF4782B"/>
    <w:rsid w:val="2EB711FE"/>
    <w:rsid w:val="2F3F04BA"/>
    <w:rsid w:val="2F4960AE"/>
    <w:rsid w:val="30681153"/>
    <w:rsid w:val="307B5B2F"/>
    <w:rsid w:val="30DB2D85"/>
    <w:rsid w:val="315868AA"/>
    <w:rsid w:val="315A40C3"/>
    <w:rsid w:val="31E47035"/>
    <w:rsid w:val="32584AA6"/>
    <w:rsid w:val="32805DAB"/>
    <w:rsid w:val="32FF1798"/>
    <w:rsid w:val="33C341A1"/>
    <w:rsid w:val="33F24A86"/>
    <w:rsid w:val="34CC177B"/>
    <w:rsid w:val="352F7CE5"/>
    <w:rsid w:val="3667350A"/>
    <w:rsid w:val="36E42DAC"/>
    <w:rsid w:val="371D3CDA"/>
    <w:rsid w:val="379F0A81"/>
    <w:rsid w:val="37D42E21"/>
    <w:rsid w:val="37FC5ED4"/>
    <w:rsid w:val="381B0439"/>
    <w:rsid w:val="38615E23"/>
    <w:rsid w:val="386341A5"/>
    <w:rsid w:val="38DE1A7D"/>
    <w:rsid w:val="38FB43DD"/>
    <w:rsid w:val="390A32EA"/>
    <w:rsid w:val="39ED01CA"/>
    <w:rsid w:val="3A916DA7"/>
    <w:rsid w:val="3B9528C7"/>
    <w:rsid w:val="3C0D4B53"/>
    <w:rsid w:val="3D4D0C83"/>
    <w:rsid w:val="3DA9265A"/>
    <w:rsid w:val="3DC2371B"/>
    <w:rsid w:val="3E3143FD"/>
    <w:rsid w:val="3E5F540E"/>
    <w:rsid w:val="3E6622F9"/>
    <w:rsid w:val="3E76728A"/>
    <w:rsid w:val="3EF723AF"/>
    <w:rsid w:val="3F5B0B82"/>
    <w:rsid w:val="40BB2DD0"/>
    <w:rsid w:val="40D95004"/>
    <w:rsid w:val="40EF2A79"/>
    <w:rsid w:val="41A82C28"/>
    <w:rsid w:val="41DC535C"/>
    <w:rsid w:val="420A5691"/>
    <w:rsid w:val="427E2307"/>
    <w:rsid w:val="42F645DF"/>
    <w:rsid w:val="4388105F"/>
    <w:rsid w:val="4488746D"/>
    <w:rsid w:val="458D748F"/>
    <w:rsid w:val="46601D24"/>
    <w:rsid w:val="48042E38"/>
    <w:rsid w:val="48B40105"/>
    <w:rsid w:val="48F14EB5"/>
    <w:rsid w:val="48FC21D7"/>
    <w:rsid w:val="4AE253FD"/>
    <w:rsid w:val="4B9A2C23"/>
    <w:rsid w:val="4BE56F53"/>
    <w:rsid w:val="4C4243A5"/>
    <w:rsid w:val="4C9646F1"/>
    <w:rsid w:val="4C9B3AB5"/>
    <w:rsid w:val="4CA7245A"/>
    <w:rsid w:val="4CDF5113"/>
    <w:rsid w:val="4DE90850"/>
    <w:rsid w:val="4F894099"/>
    <w:rsid w:val="4FB05716"/>
    <w:rsid w:val="50834F8C"/>
    <w:rsid w:val="515661FD"/>
    <w:rsid w:val="515E50B1"/>
    <w:rsid w:val="516A3A56"/>
    <w:rsid w:val="51CE2237"/>
    <w:rsid w:val="525F5585"/>
    <w:rsid w:val="530C74BB"/>
    <w:rsid w:val="539618B2"/>
    <w:rsid w:val="539E4646"/>
    <w:rsid w:val="53D14261"/>
    <w:rsid w:val="54A11D47"/>
    <w:rsid w:val="564162D0"/>
    <w:rsid w:val="56E524FD"/>
    <w:rsid w:val="573E7E5F"/>
    <w:rsid w:val="587753D7"/>
    <w:rsid w:val="593037D7"/>
    <w:rsid w:val="59496E8A"/>
    <w:rsid w:val="59AD307A"/>
    <w:rsid w:val="5B7756EE"/>
    <w:rsid w:val="5B791466"/>
    <w:rsid w:val="5B7D4181"/>
    <w:rsid w:val="5BBB7CD0"/>
    <w:rsid w:val="5C367357"/>
    <w:rsid w:val="5C5F68AD"/>
    <w:rsid w:val="5CD050B5"/>
    <w:rsid w:val="5D192F00"/>
    <w:rsid w:val="5D7A3273"/>
    <w:rsid w:val="5E0A2849"/>
    <w:rsid w:val="5E257683"/>
    <w:rsid w:val="5EB10F16"/>
    <w:rsid w:val="5F7E529D"/>
    <w:rsid w:val="602D0A71"/>
    <w:rsid w:val="602E29D0"/>
    <w:rsid w:val="607D5554"/>
    <w:rsid w:val="60C5514D"/>
    <w:rsid w:val="61271964"/>
    <w:rsid w:val="61AB7E9F"/>
    <w:rsid w:val="627B3ABF"/>
    <w:rsid w:val="62A019CE"/>
    <w:rsid w:val="63422A85"/>
    <w:rsid w:val="637C7D45"/>
    <w:rsid w:val="63A86D8C"/>
    <w:rsid w:val="63DE187D"/>
    <w:rsid w:val="643B7C00"/>
    <w:rsid w:val="644D7933"/>
    <w:rsid w:val="64540CC2"/>
    <w:rsid w:val="65192256"/>
    <w:rsid w:val="65AD68DC"/>
    <w:rsid w:val="66240220"/>
    <w:rsid w:val="67EC6609"/>
    <w:rsid w:val="68B63CF9"/>
    <w:rsid w:val="69A521C6"/>
    <w:rsid w:val="69E14DA6"/>
    <w:rsid w:val="69F12B0F"/>
    <w:rsid w:val="6A1F58CE"/>
    <w:rsid w:val="6B036F9E"/>
    <w:rsid w:val="6C627CF4"/>
    <w:rsid w:val="6C661592"/>
    <w:rsid w:val="6CBA7B30"/>
    <w:rsid w:val="6D8A5754"/>
    <w:rsid w:val="6D996957"/>
    <w:rsid w:val="6F5002D8"/>
    <w:rsid w:val="704936A5"/>
    <w:rsid w:val="70926DFA"/>
    <w:rsid w:val="71C034F3"/>
    <w:rsid w:val="71F301A5"/>
    <w:rsid w:val="722241AD"/>
    <w:rsid w:val="72F86CBC"/>
    <w:rsid w:val="73124222"/>
    <w:rsid w:val="741C5277"/>
    <w:rsid w:val="74404C7B"/>
    <w:rsid w:val="744877CF"/>
    <w:rsid w:val="74681C20"/>
    <w:rsid w:val="750D2228"/>
    <w:rsid w:val="751D2A0A"/>
    <w:rsid w:val="75F23E97"/>
    <w:rsid w:val="765C57B4"/>
    <w:rsid w:val="766D79C1"/>
    <w:rsid w:val="768F16E6"/>
    <w:rsid w:val="775070C7"/>
    <w:rsid w:val="77530965"/>
    <w:rsid w:val="775C1F10"/>
    <w:rsid w:val="77E45A61"/>
    <w:rsid w:val="79CC49FF"/>
    <w:rsid w:val="79DA35C0"/>
    <w:rsid w:val="79E306C6"/>
    <w:rsid w:val="7A793CFE"/>
    <w:rsid w:val="7BA2010D"/>
    <w:rsid w:val="7BDD2EE3"/>
    <w:rsid w:val="7C5F1B82"/>
    <w:rsid w:val="7CD662C0"/>
    <w:rsid w:val="7CEA58C8"/>
    <w:rsid w:val="7D7F51B3"/>
    <w:rsid w:val="7D80447E"/>
    <w:rsid w:val="7D8555F0"/>
    <w:rsid w:val="7DFC21CB"/>
    <w:rsid w:val="7E2412AD"/>
    <w:rsid w:val="7E36356C"/>
    <w:rsid w:val="7E663674"/>
    <w:rsid w:val="7E7F6211"/>
    <w:rsid w:val="7EA64D85"/>
    <w:rsid w:val="7F137586"/>
    <w:rsid w:val="7FA501CC"/>
    <w:rsid w:val="7FFD59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1355</Words>
  <Characters>1449</Characters>
  <Lines>0</Lines>
  <Paragraphs>0</Paragraphs>
  <TotalTime>0</TotalTime>
  <ScaleCrop>false</ScaleCrop>
  <LinksUpToDate>false</LinksUpToDate>
  <CharactersWithSpaces>1474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2024-04-16T01:04:00Z</dcterms:created>
  <dc:creator>Lenovo</dc:creator>
  <cp:lastModifiedBy>月光</cp:lastModifiedBy>
  <dcterms:modified xsi:type="dcterms:W3CDTF">2024-05-06T01:08:58Z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92A65220CFD7480A968AB8F3BC606E21</vt:lpwstr>
  </property>
</Properties>
</file>