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Tahoma" w:hAnsi="Tahoma" w:eastAsia="Tahoma" w:cs="Tahoma"/>
          <w:i w:val="0"/>
          <w:iCs w:val="0"/>
          <w:caps w:val="0"/>
          <w:color w:val="333333"/>
          <w:spacing w:val="0"/>
          <w:sz w:val="39"/>
          <w:szCs w:val="39"/>
        </w:rPr>
      </w:pPr>
      <w:r>
        <w:rPr>
          <w:rFonts w:hint="default" w:ascii="Tahoma" w:hAnsi="Tahoma" w:eastAsia="Tahoma" w:cs="Tahoma"/>
          <w:i w:val="0"/>
          <w:iCs w:val="0"/>
          <w:caps w:val="0"/>
          <w:color w:val="333333"/>
          <w:spacing w:val="0"/>
          <w:sz w:val="39"/>
          <w:szCs w:val="39"/>
          <w:bdr w:val="none" w:color="auto" w:sz="0" w:space="0"/>
          <w:shd w:val="clear" w:fill="FFFFFF"/>
        </w:rPr>
        <w:t>鄂州市生态环境局关于公布2021年规范性文件清理结果的决定</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3"/>
        <w:gridCol w:w="2521"/>
        <w:gridCol w:w="855"/>
        <w:gridCol w:w="1564"/>
        <w:gridCol w:w="855"/>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5"/>
          <w:wAfter w:w="0" w:type="auto"/>
        </w:trPr>
        <w:tc>
          <w:tcPr>
            <w:tcW w:w="0" w:type="auto"/>
            <w:shd w:val="clear" w:color="auto" w:fill="FFFFFF"/>
            <w:vAlign w:val="center"/>
          </w:tcPr>
          <w:p>
            <w:pPr>
              <w:jc w:val="center"/>
              <w:rPr>
                <w:rFonts w:hint="eastAsia" w:ascii="Tahoma" w:hAnsi="Tahoma" w:eastAsia="Tahoma" w:cs="Tahoma"/>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索  引  号：</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011217651/2021-01302</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发文字号：</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鄂州办文〔2021〕5号</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发文日期：</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2021年06月30日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发文单位：</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鄂州市生态环境局</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发布日期：</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2021年06月30日</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效力状态：</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生效日期：</w:t>
            </w:r>
          </w:p>
        </w:tc>
        <w:tc>
          <w:tcPr>
            <w:tcW w:w="0" w:type="auto"/>
            <w:gridSpan w:val="3"/>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2021年06月30日</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失效日期：</w:t>
            </w:r>
          </w:p>
        </w:tc>
        <w:tc>
          <w:tcPr>
            <w:tcW w:w="0" w:type="auto"/>
            <w:shd w:val="clear" w:color="auto" w:fill="FFFFFF"/>
            <w:vAlign w:val="center"/>
          </w:tcPr>
          <w:p>
            <w:pPr>
              <w:jc w:val="center"/>
              <w:rPr>
                <w:rFonts w:hint="default" w:ascii="Tahoma" w:hAnsi="Tahoma" w:eastAsia="Tahoma" w:cs="Tahoma"/>
                <w:i w:val="0"/>
                <w:iCs w:val="0"/>
                <w:caps w:val="0"/>
                <w:color w:val="000000"/>
                <w:spacing w:val="0"/>
                <w:sz w:val="21"/>
                <w:szCs w:val="21"/>
              </w:rPr>
            </w:pPr>
          </w:p>
        </w:tc>
      </w:tr>
    </w:tbl>
    <w:p>
      <w:pPr>
        <w:keepNext w:val="0"/>
        <w:keepLines w:val="0"/>
        <w:widowControl/>
        <w:suppressLineNumbers w:val="0"/>
        <w:jc w:val="left"/>
      </w:pPr>
    </w:p>
    <w:p>
      <w:pPr>
        <w:keepNext w:val="0"/>
        <w:keepLines w:val="0"/>
        <w:widowControl/>
        <w:suppressLineNumbers w:val="0"/>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根据《市委办公室 市政府办公室关于开展全市营商环境法规文件清理工作的通知》（鄂州办文〔2021〕5号）、《市人民政府办公室关于印发鄂州市优化营商环境“清、减、降”专项行动实施方案的通知》（鄂州政办函〔2021〕12号）文件精神和《鄂州市规范性文件管理办法》规定，我局对2021年以前制发的规范性文件进行了全面清理，决定废止（宣布失效）51件，保留15件，予以修改1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bdr w:val="none" w:color="auto" w:sz="0" w:space="0"/>
          <w:shd w:val="clear" w:fill="FFFFFF"/>
          <w:lang w:val="en-US"/>
          <w14:textFill>
            <w14:solidFill>
              <w14:schemeClr w14:val="tx1"/>
            </w14:solidFill>
          </w14:textFill>
        </w:rPr>
        <w:t>1.</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决定废止（宣布失效）规范性文件目录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bdr w:val="none" w:color="auto" w:sz="0" w:space="0"/>
          <w:shd w:val="clear" w:fill="FFFFFF"/>
          <w:lang w:val="en-US"/>
          <w14:textFill>
            <w14:solidFill>
              <w14:schemeClr w14:val="tx1"/>
            </w14:solidFill>
          </w14:textFill>
        </w:rPr>
        <w:t>2.</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决定保留规范性文件目录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bdr w:val="none" w:color="auto" w:sz="0" w:space="0"/>
          <w:shd w:val="clear" w:fill="FFFFFF"/>
          <w:lang w:val="en-US"/>
          <w14:textFill>
            <w14:solidFill>
              <w14:schemeClr w14:val="tx1"/>
            </w14:solidFill>
          </w14:textFill>
        </w:rPr>
        <w:t>3.</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决定予以修改的规范性文件目录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bdr w:val="none" w:color="auto" w:sz="0" w:space="0"/>
          <w:shd w:val="clear" w:fill="FFFFFF"/>
          <w:lang w:val="en-US"/>
          <w14:textFill>
            <w14:solidFill>
              <w14:schemeClr w14:val="tx1"/>
            </w14:solidFill>
          </w14:textFill>
        </w:rPr>
        <w:t>                                                  </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鄂州市生态环境局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right"/>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lang w:val="en-US"/>
          <w14:textFill>
            <w14:solidFill>
              <w14:schemeClr w14:val="tx1"/>
            </w14:solidFill>
          </w14:textFill>
        </w:rPr>
        <w:t>2021</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32"/>
          <w:szCs w:val="32"/>
          <w:bdr w:val="none" w:color="auto" w:sz="0" w:space="0"/>
          <w:shd w:val="clear" w:fill="FFFFFF"/>
          <w:lang w:val="en-US"/>
          <w14:textFill>
            <w14:solidFill>
              <w14:schemeClr w14:val="tx1"/>
            </w14:solidFill>
          </w14:textFill>
        </w:rPr>
        <w:t>6</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32"/>
          <w:szCs w:val="32"/>
          <w:bdr w:val="none" w:color="auto" w:sz="0" w:space="0"/>
          <w:shd w:val="clear" w:fill="FFFFFF"/>
          <w:lang w:val="en-US"/>
          <w14:textFill>
            <w14:solidFill>
              <w14:schemeClr w14:val="tx1"/>
            </w14:solidFill>
          </w14:textFill>
        </w:rPr>
        <w:t>30</w:t>
      </w: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日</w:t>
      </w:r>
    </w:p>
    <w:tbl>
      <w:tblPr>
        <w:tblStyle w:val="4"/>
        <w:tblW w:w="8708" w:type="dxa"/>
        <w:tblInd w:w="31" w:type="dxa"/>
        <w:tblLayout w:type="autofit"/>
        <w:tblCellMar>
          <w:top w:w="15" w:type="dxa"/>
          <w:left w:w="15" w:type="dxa"/>
          <w:bottom w:w="15" w:type="dxa"/>
          <w:right w:w="15" w:type="dxa"/>
        </w:tblCellMar>
      </w:tblPr>
      <w:tblGrid>
        <w:gridCol w:w="908"/>
        <w:gridCol w:w="2895"/>
        <w:gridCol w:w="4905"/>
      </w:tblGrid>
      <w:tr>
        <w:tblPrEx>
          <w:tblCellMar>
            <w:top w:w="15" w:type="dxa"/>
            <w:left w:w="15" w:type="dxa"/>
            <w:bottom w:w="15" w:type="dxa"/>
            <w:right w:w="15" w:type="dxa"/>
          </w:tblCellMar>
        </w:tblPrEx>
        <w:trPr>
          <w:trHeight w:val="720" w:hRule="atLeast"/>
        </w:trPr>
        <w:tc>
          <w:tcPr>
            <w:tcW w:w="8708" w:type="dxa"/>
            <w:gridSpan w:val="3"/>
            <w:tcBorders>
              <w:top w:val="nil"/>
              <w:left w:val="nil"/>
              <w:bottom w:val="nil"/>
              <w:right w:val="nil"/>
            </w:tcBorders>
            <w:tcMar>
              <w:top w:w="0" w:type="dxa"/>
              <w:left w:w="108" w:type="dxa"/>
              <w:bottom w:w="0" w:type="dxa"/>
              <w:right w:w="108" w:type="dxa"/>
            </w:tcMar>
            <w:vAlign w:val="center"/>
          </w:tcPr>
          <w:p>
            <w:pPr>
              <w:widowControl/>
              <w:spacing w:before="100" w:beforeAutospacing="1" w:after="100" w:afterAutospacing="1"/>
              <w:jc w:val="left"/>
              <w:textAlignment w:val="center"/>
            </w:pPr>
            <w:r>
              <w:rPr>
                <w:rFonts w:ascii="黑体" w:hAnsi="宋体" w:eastAsia="黑体" w:cs="黑体"/>
                <w:kern w:val="0"/>
                <w:sz w:val="28"/>
                <w:szCs w:val="28"/>
                <w:lang w:bidi="ar"/>
              </w:rPr>
              <w:t>附件1：</w:t>
            </w:r>
          </w:p>
          <w:p>
            <w:pPr>
              <w:widowControl/>
              <w:spacing w:before="100" w:beforeAutospacing="1" w:after="100" w:afterAutospacing="1"/>
              <w:jc w:val="center"/>
              <w:textAlignment w:val="center"/>
            </w:pPr>
            <w:r>
              <w:rPr>
                <w:rFonts w:hint="eastAsia" w:ascii="黑体" w:hAnsi="宋体" w:eastAsia="黑体" w:cs="黑体"/>
                <w:kern w:val="0"/>
                <w:sz w:val="36"/>
                <w:szCs w:val="36"/>
                <w:lang w:bidi="ar"/>
              </w:rPr>
              <w:t>决定废止（宣布失效）规范性文件目录（</w:t>
            </w:r>
            <w:r>
              <w:rPr>
                <w:rFonts w:ascii="黑体" w:hAnsi="宋体" w:eastAsia="黑体" w:cs="黑体"/>
                <w:kern w:val="0"/>
                <w:sz w:val="36"/>
                <w:szCs w:val="36"/>
                <w:lang w:val="en" w:bidi="ar"/>
              </w:rPr>
              <w:t>51</w:t>
            </w:r>
            <w:r>
              <w:rPr>
                <w:rFonts w:hint="eastAsia" w:ascii="黑体" w:hAnsi="宋体" w:eastAsia="黑体" w:cs="黑体"/>
                <w:kern w:val="0"/>
                <w:sz w:val="36"/>
                <w:szCs w:val="36"/>
                <w:lang w:bidi="ar"/>
              </w:rPr>
              <w:t>件）</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序号</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文件名称</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鄂州环办文[2005]41号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zCs w:val="21"/>
              </w:rPr>
              <w:t>市环保局关于污染源安装在线监控设施的通知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鄂州环办文[2005]71号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zCs w:val="21"/>
              </w:rPr>
              <w:t>关于进一步加强排污费征收管理工作的通知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鄂州环办文[2006]2号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zCs w:val="21"/>
              </w:rPr>
              <w:t>关于严防环境污染事件发生加强建设项目环境监督管理的通知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鄂州环办文[2006]12号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zCs w:val="21"/>
              </w:rPr>
              <w:t>关于在全市医疗卫生机构全面开展放射源与射线装置申报登记及医疗废物排污申报登记工作的通知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鄂州环办文[2006]25号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zCs w:val="21"/>
              </w:rPr>
              <w:t>市环保局关于加强建设项目环境监督管理的通知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鄂州环办文[2006]78号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color w:val="000000"/>
                <w:spacing w:val="8"/>
                <w:kern w:val="0"/>
                <w:szCs w:val="21"/>
                <w:lang w:bidi="ar"/>
              </w:rPr>
            </w:pPr>
            <w:r>
              <w:rPr>
                <w:rFonts w:hint="eastAsia" w:ascii="宋体" w:hAnsi="宋体" w:cs="宋体"/>
                <w:color w:val="000000"/>
                <w:szCs w:val="21"/>
              </w:rPr>
              <w:t>鄂州市环保局关于加强防范尾矿库环境安全事故工作的通知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7</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鄂州环办文[2007]39号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关于终止经营活动后污染防治有关工作的通知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8</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鄂州环办文[2007]78号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关于继续加强工业建设项目环境监管的通知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鄂州环办文[2008]68号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关于继续加强全市建设项目环境保护监督管理工作的通知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鄂州环办文[2008]87号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关于加强鄂州市城区洗车点环境监督管理的通知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鄂州环办文[2008]120号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关于做好排污费核定与征收衔接工作的通知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12</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zCs w:val="21"/>
              </w:rPr>
              <w:t>鄂州环办文[2009]104号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关于开展环境污染责任保险试点工作的通知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13</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鄂州环保文[2010]57号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鄂州市环境保护局关于进一步加强危险废物管理工作的通知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14</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鄂州环保文[2010]67号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关于印发《鄂州市市级环境保护专项资金管理暂行办法》的通知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15</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鄂州环保文[2010]106号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关于完善污染源在线监控系统与中控系统的通知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16</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鄂州环保文[2010]111号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关于印发《鄂州市环境保护局重大决策事项社会稳定风险评估实施办法（试行）》的通知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17</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鄂州环保文[2011]36号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关于加强鄂州市污染源自动监控系统管理工作的通知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18</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鄂州环保文[2012]42号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关于开展危险废物规范化管理工作的通知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19</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鄂州环保文[2012]47号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关于对非法小选矿关闭拆除工作进行验收的通知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20</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鄂州环保文[2012]133号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关于印发《鄂州市污染源自动监控系统管理办法》的通知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鄂州环保文[2013]5号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关于采取果断措施坚决遏制小选矿死灰复燃势头的通知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22</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鄂州环保文[2013]12号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关于进一步加强国家监控企业污染源自动监控数据比对监测工作的通知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23</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鄂州环保文[2013]19号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关于进一步加强省环保厅审批的建设项目“三同时”执行情况监督管理工作的通知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24</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鄂州环保文[2013]56号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关于切实加快梁子湖生态环境保护项目工作的通知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25</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鄂州环保文[2014]23号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关于进一步做好全市核技术利用单位辐射安全工作的通知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26</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鄂州环保文[2014]47号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关于印发鄂州市建设项目环境影响评价豁免管理名录（试行）的通知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27</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鄂州环办文[2014]50号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关于对“先照后证”市场主体开展环境监管的通知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28</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鄂州环办文[2014]55号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市环保局办公室关于进一步规范（非辐射类）建设项目环境审批工作的通知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29</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鄂州环办文[2016]6号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关于做好我市危险废物产生单位管理计划制定工作的通知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30</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鄂州环办文[2015]27号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关于印发“12369”环保微信举报答复规范（试行）、微信举报管理平台操作暂行规定（试行）及微信举报工作管理（试行）的通知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鄂州环办文[2015]44号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关于印发《鄂州市环境污染矛盾纠纷预防化解实施办法（试行）》通知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32</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鄂州环办文[2017]25号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关于进一步加强危险废物管理的通知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33</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鄂州环办文</w:t>
            </w:r>
            <w:r>
              <w:rPr>
                <w:rFonts w:hint="eastAsia" w:ascii="宋体" w:hAnsi="宋体" w:cs="宋体"/>
                <w:color w:val="000000"/>
                <w:spacing w:val="8"/>
                <w:szCs w:val="21"/>
              </w:rPr>
              <w:t>〔2017〕4号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关于做好燃煤锅炉淘汰环保执法监管工作的通知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34</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鄂州环办文[2018]8号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关于进一步加强建设项目环境监管的通知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35</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鄂州环办文[2018]14号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鄂州市环保局办公室关于进一步加强全市辐射与危险废物管理的通知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36</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鄂州环办文[2018]31号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关于加强建设项目（非辐射类）环境影响登记表备案后管理工作的通知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37</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鄂州环办文[2018]57号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鄂州市环保局办公室关于进一步加强“12369”环保举报热线管理的通知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38</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spacing w:val="8"/>
                <w:szCs w:val="21"/>
              </w:rPr>
              <w:t>鄂州环保文[2018]21号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exact"/>
              <w:textAlignment w:val="center"/>
              <w:rPr>
                <w:rFonts w:hint="eastAsia" w:ascii="宋体" w:hAnsi="宋体" w:cs="宋体"/>
                <w:color w:val="000000"/>
                <w:kern w:val="0"/>
                <w:szCs w:val="21"/>
                <w:lang w:bidi="ar"/>
              </w:rPr>
            </w:pPr>
            <w:r>
              <w:rPr>
                <w:rFonts w:hint="eastAsia" w:ascii="宋体" w:hAnsi="宋体" w:cs="宋体"/>
                <w:color w:val="000000"/>
                <w:spacing w:val="8"/>
                <w:kern w:val="0"/>
                <w:szCs w:val="21"/>
                <w:lang w:bidi="ar"/>
              </w:rPr>
              <w:t>关于印发《鄂州市污染源自动监控管理办法(试行)》的通知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39</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spacing w:val="8"/>
                <w:szCs w:val="21"/>
              </w:rPr>
              <w:t>鄂州环保文[2018]3号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exact"/>
              <w:textAlignment w:val="center"/>
              <w:rPr>
                <w:rFonts w:hint="eastAsia" w:ascii="宋体" w:hAnsi="宋体" w:cs="宋体"/>
                <w:color w:val="000000"/>
                <w:kern w:val="0"/>
                <w:szCs w:val="21"/>
                <w:lang w:bidi="ar"/>
              </w:rPr>
            </w:pPr>
            <w:r>
              <w:rPr>
                <w:rFonts w:hint="eastAsia" w:ascii="宋体" w:hAnsi="宋体" w:cs="宋体"/>
                <w:color w:val="000000"/>
                <w:spacing w:val="8"/>
                <w:szCs w:val="21"/>
              </w:rPr>
              <w:t>关于印发《鄂州市环境保护专项资金项目管理实施细则》的通知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40</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spacing w:val="8"/>
                <w:kern w:val="0"/>
                <w:szCs w:val="21"/>
                <w:lang w:bidi="ar"/>
              </w:rPr>
              <w:t>2018年5月7日</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鄂州市人民政府关于在全市开展“散乱污”企业污染问题“清零行动”的通告</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hint="eastAsia" w:ascii="宋体" w:hAnsi="宋体" w:cs="宋体"/>
                <w:color w:val="000000"/>
                <w:kern w:val="0"/>
                <w:szCs w:val="21"/>
                <w:lang w:bidi="ar"/>
              </w:rPr>
            </w:pPr>
            <w:r>
              <w:rPr>
                <w:rFonts w:hint="eastAsia" w:ascii="宋体" w:hAnsi="宋体" w:cs="宋体"/>
                <w:color w:val="000000"/>
                <w:kern w:val="0"/>
                <w:szCs w:val="21"/>
                <w:lang w:bidi="ar"/>
              </w:rPr>
              <w:t>2018年3月30日</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Style w:val="3"/>
              <w:widowControl/>
              <w:spacing w:before="0" w:beforeAutospacing="0" w:after="0" w:afterAutospacing="0" w:line="360" w:lineRule="exact"/>
              <w:jc w:val="both"/>
              <w:rPr>
                <w:rFonts w:hint="eastAsia" w:ascii="宋体" w:hAnsi="宋体" w:cs="宋体"/>
                <w:color w:val="000000"/>
                <w:sz w:val="21"/>
                <w:szCs w:val="21"/>
                <w:lang w:bidi="ar"/>
              </w:rPr>
            </w:pPr>
            <w:r>
              <w:rPr>
                <w:rFonts w:hint="eastAsia" w:ascii="宋体" w:hAnsi="宋体" w:cs="宋体"/>
                <w:color w:val="000000"/>
                <w:spacing w:val="8"/>
                <w:sz w:val="21"/>
                <w:szCs w:val="21"/>
              </w:rPr>
              <w:t>鄂州市中央环境保护督察反馈意见整改攻坚指挥部、鄂州市环境保护局关于对新发现洋澜湖排污口实行有奖举报的通告</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42</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鄂州环保文[2019]9号</w:t>
            </w:r>
          </w:p>
          <w:p>
            <w:pPr>
              <w:widowControl/>
              <w:spacing w:line="400" w:lineRule="exact"/>
              <w:jc w:val="center"/>
              <w:textAlignment w:val="center"/>
              <w:rPr>
                <w:rFonts w:hint="eastAsia" w:ascii="宋体" w:hAnsi="宋体" w:cs="宋体"/>
                <w:color w:val="000000"/>
                <w:spacing w:val="8"/>
                <w:kern w:val="0"/>
                <w:szCs w:val="21"/>
                <w:lang w:bidi="ar"/>
              </w:rPr>
            </w:pP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fldChar w:fldCharType="begin"/>
            </w:r>
            <w:r>
              <w:instrText xml:space="preserve"> HYPERLINK "http://sthjj.ezhou.gov.cn/hjxw/tzgg/201903/t20190307_219260.html" \t "/home/inspur/文档\x/_BLANK" \o "关于印发《鄂州市生态环境守信激励和失信惩戒办法》的通知" </w:instrText>
            </w:r>
            <w:r>
              <w:fldChar w:fldCharType="separate"/>
            </w:r>
            <w:r>
              <w:rPr>
                <w:rFonts w:hint="eastAsia" w:ascii="宋体" w:hAnsi="宋体" w:cs="宋体"/>
                <w:color w:val="000000"/>
                <w:spacing w:val="8"/>
                <w:kern w:val="0"/>
                <w:szCs w:val="21"/>
                <w:lang w:bidi="ar"/>
              </w:rPr>
              <w:t>关于印发《鄂州市生态环境守信激励和失信惩戒办法》的通知</w:t>
            </w:r>
            <w:r>
              <w:rPr>
                <w:rFonts w:hint="eastAsia" w:ascii="宋体" w:hAnsi="宋体" w:cs="宋体"/>
                <w:color w:val="000000"/>
                <w:spacing w:val="8"/>
                <w:kern w:val="0"/>
                <w:szCs w:val="21"/>
                <w:lang w:bidi="ar"/>
              </w:rPr>
              <w:fldChar w:fldCharType="end"/>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43</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鄂州环办文</w:t>
            </w:r>
            <w:r>
              <w:rPr>
                <w:rFonts w:hint="eastAsia" w:ascii="宋体" w:hAnsi="宋体" w:cs="宋体"/>
                <w:color w:val="000000"/>
                <w:spacing w:val="8"/>
                <w:szCs w:val="21"/>
              </w:rPr>
              <w:t>〔2006〕28号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关于切实做好全面整顿和规范矿产资源开发秩序工作的通知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44</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鄂州环办文</w:t>
            </w:r>
            <w:r>
              <w:rPr>
                <w:rFonts w:hint="eastAsia" w:ascii="宋体" w:hAnsi="宋体" w:cs="宋体"/>
                <w:color w:val="000000"/>
                <w:spacing w:val="8"/>
                <w:szCs w:val="21"/>
              </w:rPr>
              <w:t>〔2007〕46号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市环保局关于进一步加强含油脂废水排放管理工作的通知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45</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鄂州环办文</w:t>
            </w:r>
            <w:r>
              <w:rPr>
                <w:rFonts w:hint="eastAsia" w:ascii="宋体" w:hAnsi="宋体" w:cs="宋体"/>
                <w:color w:val="000000"/>
                <w:spacing w:val="8"/>
                <w:szCs w:val="21"/>
              </w:rPr>
              <w:t>〔2009〕3号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鄂州市环保局关于建立全市重点建设项目环保审批绿色通道的通知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46</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鄂州环保文</w:t>
            </w:r>
            <w:r>
              <w:rPr>
                <w:rFonts w:hint="eastAsia" w:ascii="宋体" w:hAnsi="宋体" w:cs="宋体"/>
                <w:color w:val="000000"/>
                <w:spacing w:val="8"/>
                <w:szCs w:val="21"/>
              </w:rPr>
              <w:t>〔2013〕166号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关于印发《鄂州市重金属污染综合防治规划》的通知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47</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鄂州环办文</w:t>
            </w:r>
            <w:r>
              <w:rPr>
                <w:rFonts w:hint="eastAsia" w:ascii="宋体" w:hAnsi="宋体" w:cs="宋体"/>
                <w:color w:val="000000"/>
                <w:spacing w:val="8"/>
                <w:szCs w:val="21"/>
              </w:rPr>
              <w:t>〔2014〕16号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关于进一步加强畜禽养殖环境监管工作的通知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48</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鄂州环办文</w:t>
            </w:r>
            <w:r>
              <w:rPr>
                <w:rFonts w:hint="eastAsia" w:ascii="宋体" w:hAnsi="宋体" w:cs="宋体"/>
                <w:color w:val="000000"/>
                <w:spacing w:val="8"/>
                <w:szCs w:val="21"/>
              </w:rPr>
              <w:t>〔2014〕17号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关于规范全市畜禽规模养殖新（扩）建污染治理及废物综合利用设施的减排项目申报“以奖代补”资金工作管理的通知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49</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鄂州环办文</w:t>
            </w:r>
            <w:r>
              <w:rPr>
                <w:rFonts w:hint="eastAsia" w:ascii="宋体" w:hAnsi="宋体" w:cs="宋体"/>
                <w:color w:val="000000"/>
                <w:spacing w:val="8"/>
                <w:szCs w:val="21"/>
              </w:rPr>
              <w:t>〔2014〕37号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鄂州市环境保护局办公室关于切实服务全市招商引资工作的通知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50</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鄂州环保文</w:t>
            </w:r>
            <w:r>
              <w:rPr>
                <w:rFonts w:hint="eastAsia" w:ascii="宋体" w:hAnsi="宋体" w:cs="宋体"/>
                <w:color w:val="000000"/>
                <w:spacing w:val="8"/>
                <w:szCs w:val="21"/>
              </w:rPr>
              <w:t>〔2015〕94号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鄂州市环保局 鄂州市财政局关于加快实施梁子湖生态环境保护项目的通知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51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鄂州环办文</w:t>
            </w:r>
            <w:r>
              <w:rPr>
                <w:rFonts w:hint="eastAsia" w:ascii="宋体" w:hAnsi="宋体" w:cs="宋体"/>
                <w:color w:val="000000"/>
                <w:spacing w:val="8"/>
                <w:szCs w:val="21"/>
              </w:rPr>
              <w:t>〔2018〕34号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关于进一步加强水污染防治有关工作的通知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pPr>
    </w:p>
    <w:p>
      <w:pPr>
        <w:widowControl/>
        <w:spacing w:before="100" w:beforeAutospacing="1" w:after="100" w:afterAutospacing="1"/>
        <w:jc w:val="left"/>
        <w:textAlignment w:val="center"/>
      </w:pPr>
      <w:r>
        <w:rPr>
          <w:rFonts w:ascii="黑体" w:hAnsi="宋体" w:eastAsia="黑体" w:cs="黑体"/>
          <w:kern w:val="0"/>
          <w:sz w:val="28"/>
          <w:szCs w:val="28"/>
          <w:lang w:bidi="ar"/>
        </w:rPr>
        <w:t>附件</w:t>
      </w:r>
      <w:r>
        <w:rPr>
          <w:rFonts w:hint="eastAsia" w:ascii="黑体" w:hAnsi="宋体" w:eastAsia="黑体" w:cs="黑体"/>
          <w:kern w:val="0"/>
          <w:sz w:val="28"/>
          <w:szCs w:val="28"/>
          <w:lang w:bidi="ar"/>
        </w:rPr>
        <w:t>2</w:t>
      </w:r>
      <w:r>
        <w:rPr>
          <w:rFonts w:ascii="黑体" w:hAnsi="宋体" w:eastAsia="黑体" w:cs="黑体"/>
          <w:kern w:val="0"/>
          <w:sz w:val="28"/>
          <w:szCs w:val="28"/>
          <w:lang w:bidi="ar"/>
        </w:rPr>
        <w:t>：</w:t>
      </w:r>
    </w:p>
    <w:p>
      <w:pPr>
        <w:widowControl/>
        <w:spacing w:before="100" w:beforeAutospacing="1" w:after="100" w:afterAutospacing="1"/>
        <w:jc w:val="center"/>
        <w:textAlignment w:val="center"/>
      </w:pPr>
      <w:r>
        <w:rPr>
          <w:rFonts w:hint="eastAsia" w:ascii="黑体" w:hAnsi="宋体" w:eastAsia="黑体" w:cs="黑体"/>
          <w:kern w:val="0"/>
          <w:sz w:val="36"/>
          <w:szCs w:val="36"/>
          <w:lang w:bidi="ar"/>
        </w:rPr>
        <w:t>决定保留有效的规范性文件目录（</w:t>
      </w:r>
      <w:r>
        <w:rPr>
          <w:rFonts w:ascii="黑体" w:hAnsi="宋体" w:eastAsia="黑体" w:cs="黑体"/>
          <w:kern w:val="0"/>
          <w:sz w:val="36"/>
          <w:szCs w:val="36"/>
          <w:lang w:val="en" w:bidi="ar"/>
        </w:rPr>
        <w:t>15</w:t>
      </w:r>
      <w:r>
        <w:rPr>
          <w:rFonts w:hint="eastAsia" w:ascii="黑体" w:hAnsi="宋体" w:eastAsia="黑体" w:cs="黑体"/>
          <w:kern w:val="0"/>
          <w:sz w:val="36"/>
          <w:szCs w:val="36"/>
          <w:lang w:bidi="ar"/>
        </w:rPr>
        <w:t>件）</w:t>
      </w:r>
    </w:p>
    <w:tbl>
      <w:tblPr>
        <w:tblStyle w:val="4"/>
        <w:tblW w:w="8708" w:type="dxa"/>
        <w:tblInd w:w="31" w:type="dxa"/>
        <w:tblLayout w:type="autofit"/>
        <w:tblCellMar>
          <w:top w:w="15" w:type="dxa"/>
          <w:left w:w="15" w:type="dxa"/>
          <w:bottom w:w="15" w:type="dxa"/>
          <w:right w:w="15" w:type="dxa"/>
        </w:tblCellMar>
      </w:tblPr>
      <w:tblGrid>
        <w:gridCol w:w="908"/>
        <w:gridCol w:w="2895"/>
        <w:gridCol w:w="4905"/>
      </w:tblGrid>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序号</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文件名称</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鄂州环办文[2009]48号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关于进一步加强饮用水水源安全保障工作的通知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2</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鄂州环办文[2016]56号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鄂州市环境保护局办公室关于进一步落实污染源自行监测及信息公开制度的通知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3</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鄂州环办文[2018]53号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关于推进固定污染源氮磷污染防治的通知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4</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spacing w:val="8"/>
                <w:szCs w:val="21"/>
              </w:rPr>
              <w:t>鄂州环发〔2019〕46号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exact"/>
              <w:textAlignment w:val="center"/>
              <w:rPr>
                <w:rFonts w:hint="eastAsia" w:ascii="宋体" w:hAnsi="宋体" w:cs="宋体"/>
                <w:color w:val="000000"/>
                <w:kern w:val="0"/>
                <w:szCs w:val="21"/>
                <w:lang w:bidi="ar"/>
              </w:rPr>
            </w:pPr>
            <w:r>
              <w:rPr>
                <w:rFonts w:hint="eastAsia" w:ascii="宋体" w:hAnsi="宋体" w:cs="宋体"/>
                <w:color w:val="000000"/>
                <w:spacing w:val="8"/>
                <w:kern w:val="0"/>
                <w:szCs w:val="21"/>
                <w:lang w:bidi="ar"/>
              </w:rPr>
              <w:t>关于印发湖北省鄂州市《关于对生态环境保护领域失信生产经营单位及其有关人员开展联合惩戒的合作备忘录》的通知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5</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kern w:val="0"/>
                <w:szCs w:val="21"/>
                <w:lang w:bidi="ar"/>
              </w:rPr>
              <w:t>鄂州环发</w:t>
            </w:r>
            <w:r>
              <w:rPr>
                <w:rFonts w:hint="eastAsia" w:ascii="宋体" w:hAnsi="宋体" w:cs="宋体"/>
                <w:color w:val="000000"/>
                <w:spacing w:val="8"/>
                <w:szCs w:val="21"/>
              </w:rPr>
              <w:t>〔2019〕45号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tabs>
                <w:tab w:val="left" w:pos="777"/>
              </w:tabs>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关于印发《鄂州市生态环境行政处罚裁量基准规定》的通知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6</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鄂州环发</w:t>
            </w:r>
            <w:r>
              <w:rPr>
                <w:rFonts w:hint="eastAsia" w:ascii="宋体" w:hAnsi="宋体" w:cs="宋体"/>
                <w:color w:val="000000"/>
                <w:spacing w:val="8"/>
                <w:szCs w:val="21"/>
              </w:rPr>
              <w:t>〔2019〕23号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市生态环境局 市档案局关于印发《鄂州市第二次全国污染源普查档案管理实施细则》的通知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7</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鄂州环保文</w:t>
            </w:r>
            <w:r>
              <w:rPr>
                <w:rFonts w:hint="eastAsia" w:ascii="宋体" w:hAnsi="宋体" w:cs="宋体"/>
                <w:color w:val="000000"/>
                <w:spacing w:val="8"/>
                <w:szCs w:val="21"/>
              </w:rPr>
              <w:t>〔2019〕7号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关于推行环保信用承诺和信用审查制度有关事项的通知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8</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鄂州环保文</w:t>
            </w:r>
            <w:r>
              <w:rPr>
                <w:rFonts w:hint="eastAsia" w:ascii="宋体" w:hAnsi="宋体" w:cs="宋体"/>
                <w:color w:val="000000"/>
                <w:spacing w:val="8"/>
                <w:szCs w:val="21"/>
              </w:rPr>
              <w:t>〔2019〕6号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关于严格执行国家新颁布机动车污染物排放标准的通知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9</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鄂州环保文[2017]69号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市环保局 市公安局 市检察院关于印发《关于贯彻落实环境保护行政执法与刑事司法衔接工作办法的实施办法》的通知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10</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 w:bidi="ar"/>
              </w:rPr>
              <w:t>2019.10.24</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鄂州市生态环境局关于深化排污权交易试点工作的通知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鄂州环保文[2016]73号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pacing w:val="8"/>
                <w:kern w:val="0"/>
                <w:szCs w:val="21"/>
                <w:lang w:bidi="ar"/>
              </w:rPr>
            </w:pPr>
            <w:r>
              <w:rPr>
                <w:rFonts w:hint="eastAsia" w:ascii="宋体" w:hAnsi="宋体" w:cs="宋体"/>
                <w:color w:val="000000"/>
                <w:spacing w:val="8"/>
                <w:kern w:val="0"/>
                <w:szCs w:val="21"/>
                <w:lang w:bidi="ar"/>
              </w:rPr>
              <w:t>市监察局 市环保局关于印发关于环保行政执法机关向监察机关移送问题线索和案件工作办法的通知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12</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spacing w:val="8"/>
                <w:szCs w:val="21"/>
              </w:rPr>
              <w:t>鄂州环发〔2020〕15号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szCs w:val="21"/>
              </w:rPr>
              <w:t>鄂州市生态环境局关于印发《鄂州市地表水水质自动监测站运行维护及监督管理协调工作机制（试行）》的通知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13</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zCs w:val="21"/>
              </w:rPr>
            </w:pPr>
            <w:r>
              <w:rPr>
                <w:rFonts w:hint="eastAsia" w:ascii="宋体" w:hAnsi="宋体" w:cs="宋体"/>
                <w:color w:val="000000"/>
                <w:szCs w:val="21"/>
              </w:rPr>
              <w:t>鄂州环办〔2020〕39号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szCs w:val="21"/>
              </w:rPr>
            </w:pPr>
            <w:r>
              <w:rPr>
                <w:rFonts w:hint="eastAsia" w:ascii="宋体" w:hAnsi="宋体" w:cs="宋体"/>
                <w:color w:val="000000"/>
                <w:szCs w:val="21"/>
              </w:rPr>
              <w:t>鄂州市生态环境局办公室关于进一步加强建设项目环境管理的通知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14</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spacing w:val="8"/>
                <w:szCs w:val="21"/>
              </w:rPr>
              <w:t>鄂州环委会办发〔2019〕40号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spacing w:val="8"/>
                <w:kern w:val="0"/>
                <w:szCs w:val="21"/>
                <w:lang w:bidi="ar"/>
              </w:rPr>
              <w:t>鄂州市环境保护委员会办公室关于印发《鄂州市非道路移动机械排气污染防治实施方案》的通知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15</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spacing w:val="8"/>
                <w:szCs w:val="21"/>
              </w:rPr>
              <w:t>鄂州环委会发〔2019〕5号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hint="eastAsia" w:ascii="宋体" w:hAnsi="宋体" w:cs="宋体"/>
                <w:color w:val="000000"/>
                <w:kern w:val="0"/>
                <w:szCs w:val="21"/>
                <w:lang w:bidi="ar"/>
              </w:rPr>
            </w:pPr>
            <w:r>
              <w:rPr>
                <w:rFonts w:hint="eastAsia" w:ascii="宋体" w:hAnsi="宋体" w:cs="宋体"/>
                <w:color w:val="000000"/>
                <w:spacing w:val="8"/>
                <w:kern w:val="0"/>
                <w:szCs w:val="21"/>
                <w:lang w:bidi="ar"/>
              </w:rPr>
              <w:t>鄂州市环境保护委员会关于印发《鄂州市柴油货车污染治理攻坚战工作方案》的通知</w:t>
            </w:r>
          </w:p>
        </w:tc>
      </w:tr>
    </w:tbl>
    <w:p/>
    <w:p>
      <w:pPr>
        <w:pStyle w:val="3"/>
        <w:widowControl/>
        <w:autoSpaceDE w:val="0"/>
      </w:pPr>
      <w:r>
        <w:t xml:space="preserve">  </w:t>
      </w:r>
      <w:r>
        <w:rPr>
          <w:rFonts w:ascii="黑体" w:hAnsi="宋体" w:eastAsia="黑体" w:cs="黑体"/>
          <w:sz w:val="28"/>
          <w:szCs w:val="28"/>
          <w:lang w:bidi="ar"/>
        </w:rPr>
        <w:t>附件3：</w:t>
      </w:r>
    </w:p>
    <w:p>
      <w:r>
        <w:rPr>
          <w:rFonts w:hint="eastAsia" w:ascii="黑体" w:hAnsi="宋体" w:eastAsia="黑体" w:cs="黑体"/>
          <w:kern w:val="0"/>
          <w:sz w:val="36"/>
          <w:szCs w:val="36"/>
          <w:lang w:bidi="ar"/>
        </w:rPr>
        <w:t xml:space="preserve">       决定予以修改的规范性文件目录（1件）</w:t>
      </w:r>
    </w:p>
    <w:tbl>
      <w:tblPr>
        <w:tblStyle w:val="4"/>
        <w:tblW w:w="8646" w:type="dxa"/>
        <w:tblInd w:w="93" w:type="dxa"/>
        <w:tblLayout w:type="autofit"/>
        <w:tblCellMar>
          <w:top w:w="15" w:type="dxa"/>
          <w:left w:w="15" w:type="dxa"/>
          <w:bottom w:w="15" w:type="dxa"/>
          <w:right w:w="15" w:type="dxa"/>
        </w:tblCellMar>
      </w:tblPr>
      <w:tblGrid>
        <w:gridCol w:w="846"/>
        <w:gridCol w:w="2895"/>
        <w:gridCol w:w="4905"/>
      </w:tblGrid>
      <w:tr>
        <w:trPr>
          <w:trHeight w:val="1200" w:hRule="atLeast"/>
        </w:trPr>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序号</w:t>
            </w:r>
          </w:p>
        </w:tc>
        <w:tc>
          <w:tcPr>
            <w:tcW w:w="289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文号</w:t>
            </w:r>
          </w:p>
        </w:tc>
        <w:tc>
          <w:tcPr>
            <w:tcW w:w="490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文件名称</w:t>
            </w:r>
          </w:p>
        </w:tc>
      </w:tr>
      <w:tr>
        <w:tblPrEx>
          <w:tblCellMar>
            <w:top w:w="15" w:type="dxa"/>
            <w:left w:w="15" w:type="dxa"/>
            <w:bottom w:w="15" w:type="dxa"/>
            <w:right w:w="15" w:type="dxa"/>
          </w:tblCellMar>
        </w:tblPrEx>
        <w:trPr>
          <w:trHeight w:val="1400" w:hRule="atLeast"/>
        </w:trPr>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w:t>
            </w:r>
          </w:p>
        </w:tc>
        <w:tc>
          <w:tcPr>
            <w:tcW w:w="289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spacing w:val="8"/>
                <w:szCs w:val="21"/>
              </w:rPr>
              <w:t>鄂州环发[2019]43号</w:t>
            </w:r>
          </w:p>
        </w:tc>
        <w:tc>
          <w:tcPr>
            <w:tcW w:w="490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360" w:lineRule="exact"/>
              <w:textAlignment w:val="center"/>
              <w:rPr>
                <w:rFonts w:hint="eastAsia" w:ascii="宋体" w:hAnsi="宋体" w:cs="宋体"/>
                <w:color w:val="000000"/>
                <w:kern w:val="0"/>
                <w:szCs w:val="21"/>
                <w:lang w:bidi="ar"/>
              </w:rPr>
            </w:pPr>
            <w:r>
              <w:rPr>
                <w:rFonts w:hint="eastAsia" w:ascii="宋体" w:hAnsi="宋体" w:cs="宋体"/>
                <w:color w:val="000000"/>
                <w:spacing w:val="8"/>
                <w:kern w:val="0"/>
                <w:szCs w:val="21"/>
                <w:lang w:bidi="ar"/>
              </w:rPr>
              <w:t>鄂州市生态环境局 鄂州市公安局 鄂州市财政局关于印发《鄂州市固体废物环境违法行为举报奖励办法实施细则（试行）》的通知</w:t>
            </w: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ZjBmOGE0NzE2OTEyZjM5Njk3N2ViMjE4NjJhMjIifQ=="/>
  </w:docVars>
  <w:rsids>
    <w:rsidRoot w:val="00000000"/>
    <w:rsid w:val="57CB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2023-06-13T03:35:29Z</dcterms:created>
  <dc:creator>Administrator</dc:creator>
  <cp:lastModifiedBy>抹不掉丶迩给俄的温柔</cp:lastModifiedBy>
  <dcterms:modified xsi:type="dcterms:W3CDTF">2023-06-13T03:43:16Z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585625513D7C44908DAC194F38799F45_12</vt:lpwstr>
  </property>
</Properties>
</file>